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</w:pPr>
      <w:r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  <w:t>附件1</w:t>
      </w:r>
    </w:p>
    <w:p>
      <w:pPr>
        <w:widowControl/>
        <w:spacing w:line="640" w:lineRule="exact"/>
        <w:jc w:val="center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 xml:space="preserve">    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一、粮食加工品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SB/T 10296-2009《甜面酱》,GB 2761-2017《食品安全国家标准 食品中真菌毒素限量》,GB 2718-2014《食品安全国家标准 酿造酱》,GB 29921-2013《食品安全国家标准  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通用小麦粉、专用小麦粉检验项目包括过氧化苯甲酰、脱氧雪腐镰刀菌烯醇、玉米赤霉烯酮、赭曲霉毒素 A。大米检验项目镉（以Cd计）、黄曲霉毒素 B₁、铅（以Pb计）、总汞（以Hg计）</w:t>
      </w:r>
    </w:p>
    <w:p>
      <w:pPr>
        <w:widowControl/>
        <w:spacing w:line="640" w:lineRule="exact"/>
        <w:ind w:firstLine="964" w:firstLineChars="300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二、食用油、油脂及其制品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GB 2716-2018《食品安全国家标准 植物油》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食用植物油检验项目包括苯并[α]芘、过氧化值、黄曲霉毒素 B₁、溶剂残留量、酸价(KOH)、特丁基对苯二酚（TBHQ）。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三、调味品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食品整治办〔2008〕3号《关于印发〈食品中可能违法添加的非食用物质和易滥用的食品添加剂品种名单（第一批）〉的通知》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调味品检验项目包括吗啡,可待因,那可丁,蒂巴因,罂粟碱，氨基酸态氮（以氮计）、苯甲酸及其钠盐（以苯甲酸计）、糖精钠（以糖精计），游离矿酸、总酸（以乙酸计）。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四、餐饮食品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黑体" w:eastAsia="黑体" w:cs="黑体"/>
          <w:color w:val="000000"/>
          <w:sz w:val="32"/>
          <w:szCs w:val="32"/>
        </w:rPr>
        <w:t>一、餐饮食品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_GB2312"/>
          <w:color w:val="000000"/>
          <w:sz w:val="32"/>
          <w:szCs w:val="32"/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抽检依据是GB 7099-2015《食品安全国家标准 糕点、面包》,GB 2760-2014《食品安全国家标准 食品添加剂使用标准》,GB 29921-2013《食品安全国家标准  食品中致病菌限量》,食品整治办〔2009〕5号《关于印发〈食品中可能违法添加的非食用物质名单（第二批）〉的通知》，食品整治办〔2008〕3号《关于印发〈食品中可能违法添加的非食用物质和易滥用的食品添加剂品种名单（第一批）〉的通知》，国家食品药品监督管理总局公告2018年第18号，GB 2762-2017《食品安全国家标准 食品中污染物限量》。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发酵面制品(自制)抽检项目包括苯甲酸及其钠盐（以苯甲酸计）、甲醛次硫酸氢钠（以甲醛计）、铝的残留量(干样品，以Al计)、山梨酸及其钾盐（以山梨酸计）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bookmarkStart w:id="0" w:name="_GoBack"/>
      <w:bookmarkEnd w:id="0"/>
    </w:p>
    <w:p>
      <w:pPr>
        <w:pStyle w:val="2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复用餐饮具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抽检项目包括大肠菌群、沙门氏菌、阴离子合成洗涤剂（以十二烷基苯磺酸钠计）、游离性余氯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火锅调味料(底料、蘸料)(自制)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抽检项目包括蒂巴因、可待因、吗啡、那可丁、罂粟碱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酱卤肉制品、肉灌肠、其他熟肉(自制)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抽检项目苯甲酸及其钠盐（以苯甲酸计）、铬（以Cr计）、山梨酸及其钾盐（以山梨酸计）、亚硝酸盐(以亚硝酸钠计)、胭脂红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等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5其他餐饮食品抽检项目苯甲酸及其钠盐（以苯甲酸计）、山梨酸及其钾盐（以山梨酸计）、糖精钠（以糖精计）、亚硝酸盐(以亚硝酸钠计)，蒂巴因、可待因、吗啡、那可丁、罂粟碱、防腐剂混合使用时各自用量占其最大使用量的比例之和、甜蜜素（以环己基氨基磺酸计）、脱氢乙酸及其钠盐（以脱氢乙酸计）、柠檬黄、铝的残留量(干样品，以Al计)等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3345"/>
    <w:rsid w:val="00BD5CA5"/>
    <w:rsid w:val="101949E2"/>
    <w:rsid w:val="177C6211"/>
    <w:rsid w:val="1DA23345"/>
    <w:rsid w:val="1EEE6419"/>
    <w:rsid w:val="5846532F"/>
    <w:rsid w:val="6F4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2019-10-28T08:24:00Z</dcterms:created>
  <dc:creator>笨笨的石头心</dc:creator>
  <cp:lastModifiedBy>宁少玲</cp:lastModifiedBy>
  <dcterms:modified xsi:type="dcterms:W3CDTF">2019-12-11T10:07:08Z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