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一、粮食加工品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1355-1986《小麦粉》,GB 2762-2017《食品安全国家标准 食品中污染物限量》,GB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2761-2017《食品安全国家标准 食品中真菌毒素限量》等标准及产品明示标准和指标的要求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1.生湿面制品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检验项目：苯甲酸及其钠盐(以苯甲酸计),山梨酸及其钾盐(以山梨酸计),铅(以Pb计),脱氢乙酸及其钠盐(以脱氢乙酸计)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2.小麦粉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检验项目：过氧化苯甲酰,脱氧雪腐镰刀菌烯醇,滑石粉,二氧化钛,玉米赤霉烯酮,苯并[a]芘,镉(以Cd计),赭曲霉毒素A,黄曲霉毒素B₁,铅(以Pb计)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二、食用油、油脂及其制品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GB 2760-2014《食品安全国家标准 食品添加剂使用标准》,GB 2716-2018《食品安全国家标准 植物油》,Q/BBAH0024S-2018《菜籽油》,GB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960" w:firstLineChars="3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菜籽油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检验项目：总砷(以As计),酸价(KOH),铅(以Pb计),溶剂残留量,过氧化值,苯并[a]芘,丁基羟基茴香醚(BHA)(以油脂中的含量计),乙基麦芽酚,黄曲霉毒素B1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三、调味品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2760-2014《食品安全国家标准 食品添加剂使用标准》,整顿办函[2011]1号《食品中可能违法添加的非食用物质和易滥用的食品添加剂品种名单(第五批)》,Q/ZWST 0001S-2019《十三香调味品》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香辛料类检验项目包括罗丹明B,苏丹红Ⅰ,苏丹红Ⅱ,苏丹红Ⅲ,苏丹红Ⅳ,铅(以Pb计),苯甲酸及其钠盐(以苯甲酸计),山梨酸及其钾盐(以山梨酸计)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四、肉制品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2762-2017《食品安全国家标准 食品中污染物限量》,卫生部、国家食品药品监督管理局公告2012年第10号《关于禁止餐饮服务单位采购、贮存、使用食品添加剂亚硝酸盐的公告》,GB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??_GB2312"/>
          <w:color w:val="000000"/>
          <w:sz w:val="32"/>
          <w:szCs w:val="32"/>
          <w:highlight w:val="none"/>
        </w:rPr>
        <w:t>酱卤肉制品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检验项目：铬(以Cr计),山梨酸及其钾盐(以山梨酸计),胭脂红,苯甲酸及其钠盐(以苯甲酸计),亚硝酸盐(以亚硝酸钠计),苋菜红,柠檬黄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五、饮料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19298-2014《食品安全国家标准 包装饮用水》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，GB 2762-2017《食品安全国家标准 食品中污染物限量》，GB/T 31121-2014《果蔬汁类及其饮料》，GB 2760-2014《食品安全国家标准 食品添加剂使用标准》,GB 7101-2015《食品安全国家标准 饮料》，GB 29921-2013《食品安全国家标准  食品中致病菌限量》等标准及产品明示标准和指标的要求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rPr>
          <w:rFonts w:hint="default"/>
        </w:rPr>
      </w:pP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1.饮用纯净水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检验项目：溴酸盐,大肠菌群,铜绿假单胞菌,浑浊度,亚硝酸盐(以NO₂⁻计)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2.果、蔬汁饮料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苯甲酸及其钠盐(以苯甲酸计),山梨酸及其钾盐(以山梨酸计),脱氢乙酸及其钠盐(以脱氢乙酸计),安赛蜜,糖精钠(以糖精计),甜蜜素(以环己基氨基磺酸计),胭脂红,柠檬黄,菌落总数,大肠菌群,防腐剂混合使用时各自用量占其最大使用量的比例之和,沙门氏菌,金黄色葡萄球菌,日落黄,亮蓝,苋菜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六、速冻食品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19295-2011《食品安全国家标准 速冻面米制品》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速冻面米食品检验项目：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铅(以Pb计),糖精钠(以糖精计)。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七、茶叶及相关制品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2763-2016《食品安全国家标准 食品中农药最大残留限量》,GB/T 22292-2017《茉莉花茶》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绿茶、红茶、乌龙茶、黄茶、白茶、黑茶、花茶、袋泡茶、紧压茶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吡虫啉,联苯菊酯,氯氰菊酯和高效氯氰菊酯,灭多威,吡蚜酮,敌百虫,甲拌磷,氯唑磷,灭线磷,水胺硫磷,氧乐果,氰戊菊酯和S-氰戊菊酯,三氯杀螨醇,茚虫威,甲胺磷,克百威,啶虫脒,除虫脲,多菌灵,甲氰菊酯,滴滴涕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八、酒类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26761-2011《小曲固态法白酒》,GB 2757-2012《食品安全国家标准 蒸馏酒及其配制酒》,GB/T 15037-2006《葡萄酒》,GB 2760-2014《食品安全国家标准 食品添加剂使用标准》,GB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2761-2017《食品安全国家标准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 xml:space="preserve"> 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1.葡萄酒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三氯蔗糖,酒精度,甲醇,苯甲酸及其钠盐(以苯甲酸计),山梨酸及其钾盐(以山梨酸计),脱氢乙酸及其钠盐(以脱氢乙酸计),二氧化硫残留量,糖精钠(以糖精计),甜蜜素(以环己基氨基磺酸计),纳他霉素,铅(以Pb计),赭曲霉毒素A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2.白酒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检验项目：酒精度,铅(以Pb计),甜蜜素(以环己基氨基磺酸计),甲醇,糖精钠,三氯蔗糖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九、豆制品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2760-2014《食品安全国家标准 食品添加剂使用标准》,GB 2711-2014《食品安全国家标准 面筋制品》,GB 29921-2013《食品安全国家标准  食品中致病菌限量》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,GB/T 22106-2008《非发酵豆制品》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非发酵性豆制品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检验项目：沙门氏菌,金黄色葡萄球菌,大肠菌群,铝的残留量(干样品，以Al计),苯甲酸及其钠盐(以苯甲酸计),山梨酸及其钾盐(以山梨酸计),糖精钠(以糖精计),二氧化硫残留量,脱氢乙酸及其钠盐(以脱氢乙酸计)。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十、餐饮食品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，卫健委 2020年第4号《关于瑞士乳杆菌R0052等53种“三新食品”的公告》,GB 7099-2015《食品安全国家标准 糕点、面包》，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食品整治办[2008]3号《食品中可能违法添加的非食用物质和易滥用的食品添加剂品种名单(第一批)》等标准及产品明示标准和指标的要求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1.火锅调味料(底料、蘸料)(自制)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检验项目：罂粟碱,吗啡,可待因,那可丁,蒂巴因。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2.其他餐饮食品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 xml:space="preserve">检验项目：特丁基对苯二酚(TBHQ)(以油脂中的含量计),酸价(以脂肪计)(KOH),过氧化值(以脂肪计),苯甲酸及其钠盐(以苯甲酸计),山梨酸及其钾盐(以山梨酸计),糖精钠(以糖精计),甜蜜素(以环己基氨基磺酸计),安赛蜜,脱氢乙酸及其钠盐(以脱氢乙酸计),铝的残留量(干样品，以Al计),丙酸及其钠盐、钙盐(以丙酸计),防腐剂混合使用时各自用量占其最 大使用量的比例之和 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 w:eastAsia="仿宋_GB231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E8FD"/>
    <w:multiLevelType w:val="singleLevel"/>
    <w:tmpl w:val="2C90E8F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5A50B22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827EED"/>
    <w:rsid w:val="0DDB3E38"/>
    <w:rsid w:val="0EBD3E49"/>
    <w:rsid w:val="107426B2"/>
    <w:rsid w:val="114259EF"/>
    <w:rsid w:val="115941C4"/>
    <w:rsid w:val="11D13A15"/>
    <w:rsid w:val="11F46E1C"/>
    <w:rsid w:val="127F3973"/>
    <w:rsid w:val="141704FF"/>
    <w:rsid w:val="15A21DDE"/>
    <w:rsid w:val="16F727C1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43B0A94"/>
    <w:rsid w:val="24F03786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517139B"/>
    <w:rsid w:val="377B7005"/>
    <w:rsid w:val="37E560AC"/>
    <w:rsid w:val="38381CA8"/>
    <w:rsid w:val="38917ACB"/>
    <w:rsid w:val="39316EF0"/>
    <w:rsid w:val="39B129B0"/>
    <w:rsid w:val="3AA8034C"/>
    <w:rsid w:val="3BC0715E"/>
    <w:rsid w:val="3C98123D"/>
    <w:rsid w:val="3EFB1D78"/>
    <w:rsid w:val="400B248B"/>
    <w:rsid w:val="41807B2B"/>
    <w:rsid w:val="42AD7897"/>
    <w:rsid w:val="42EB33BC"/>
    <w:rsid w:val="42EB5CA7"/>
    <w:rsid w:val="43957DD7"/>
    <w:rsid w:val="44D30CED"/>
    <w:rsid w:val="45127AFA"/>
    <w:rsid w:val="458157D4"/>
    <w:rsid w:val="46506984"/>
    <w:rsid w:val="46995068"/>
    <w:rsid w:val="472F5B05"/>
    <w:rsid w:val="495E1EB1"/>
    <w:rsid w:val="49BA079A"/>
    <w:rsid w:val="4AA95D3F"/>
    <w:rsid w:val="4B351631"/>
    <w:rsid w:val="4B3D0E70"/>
    <w:rsid w:val="4BA436DE"/>
    <w:rsid w:val="4D651740"/>
    <w:rsid w:val="4DAF4F38"/>
    <w:rsid w:val="4E006D4F"/>
    <w:rsid w:val="4F652077"/>
    <w:rsid w:val="50A73037"/>
    <w:rsid w:val="513634FC"/>
    <w:rsid w:val="514F73D4"/>
    <w:rsid w:val="53483B17"/>
    <w:rsid w:val="540B16F2"/>
    <w:rsid w:val="54C62CDF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3D1091"/>
    <w:rsid w:val="68946DF5"/>
    <w:rsid w:val="69AB3CF4"/>
    <w:rsid w:val="6B1227CB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9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2019-10-16T01:23:00Z</cp:lastPrinted>
  <dcterms:modified xsi:type="dcterms:W3CDTF">2020-10-24T08:34:27Z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