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14724" w:type="dxa"/>
        <w:tblInd w:w="-2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1716"/>
        <w:gridCol w:w="1368"/>
        <w:gridCol w:w="7980"/>
        <w:gridCol w:w="1485"/>
        <w:gridCol w:w="1179"/>
      </w:tblGrid>
      <w:tr w14:paraId="2E0E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exact"/>
        </w:trPr>
        <w:tc>
          <w:tcPr>
            <w:tcW w:w="14724" w:type="dxa"/>
            <w:gridSpan w:val="6"/>
            <w:tcBorders>
              <w:top w:val="nil"/>
              <w:left w:val="nil"/>
              <w:bottom w:val="single" w:color="auto" w:sz="4" w:space="0"/>
              <w:right w:val="nil"/>
            </w:tcBorders>
            <w:noWrap w:val="0"/>
            <w:vAlign w:val="center"/>
          </w:tcPr>
          <w:p w14:paraId="28A08391">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44"/>
                <w:szCs w:val="44"/>
                <w:highlight w:val="none"/>
                <w:vertAlign w:val="baseline"/>
                <w:lang w:val="en-US" w:eastAsia="zh-CN"/>
              </w:rPr>
              <w:t>杨凌示范区市场监督管理局执法主体事项清单（2025版）</w:t>
            </w:r>
          </w:p>
        </w:tc>
      </w:tr>
      <w:tr w14:paraId="34B3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4724" w:type="dxa"/>
            <w:gridSpan w:val="6"/>
            <w:tcBorders>
              <w:top w:val="single" w:color="auto" w:sz="4" w:space="0"/>
            </w:tcBorders>
            <w:noWrap w:val="0"/>
            <w:vAlign w:val="center"/>
          </w:tcPr>
          <w:p w14:paraId="4D722986">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执法主体：杨凌示范区市场监督管理局</w:t>
            </w:r>
          </w:p>
        </w:tc>
      </w:tr>
      <w:tr w14:paraId="5A66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996" w:type="dxa"/>
            <w:noWrap w:val="0"/>
            <w:vAlign w:val="center"/>
          </w:tcPr>
          <w:p w14:paraId="20F1EC33">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序号</w:t>
            </w:r>
          </w:p>
        </w:tc>
        <w:tc>
          <w:tcPr>
            <w:tcW w:w="1716" w:type="dxa"/>
            <w:noWrap w:val="0"/>
            <w:vAlign w:val="center"/>
          </w:tcPr>
          <w:p w14:paraId="610C4054">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执法事项名称</w:t>
            </w:r>
          </w:p>
        </w:tc>
        <w:tc>
          <w:tcPr>
            <w:tcW w:w="1368" w:type="dxa"/>
            <w:noWrap w:val="0"/>
            <w:vAlign w:val="center"/>
          </w:tcPr>
          <w:p w14:paraId="4D6A35BF">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执法类别</w:t>
            </w:r>
          </w:p>
        </w:tc>
        <w:tc>
          <w:tcPr>
            <w:tcW w:w="7980" w:type="dxa"/>
            <w:noWrap w:val="0"/>
            <w:vAlign w:val="center"/>
          </w:tcPr>
          <w:p w14:paraId="28759790">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执法依据</w:t>
            </w:r>
          </w:p>
        </w:tc>
        <w:tc>
          <w:tcPr>
            <w:tcW w:w="1485" w:type="dxa"/>
            <w:noWrap w:val="0"/>
            <w:vAlign w:val="center"/>
          </w:tcPr>
          <w:p w14:paraId="69DEC313">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责任机构</w:t>
            </w:r>
          </w:p>
        </w:tc>
        <w:tc>
          <w:tcPr>
            <w:tcW w:w="1179" w:type="dxa"/>
            <w:noWrap w:val="0"/>
            <w:vAlign w:val="center"/>
          </w:tcPr>
          <w:p w14:paraId="4BA895C3">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责任人员</w:t>
            </w:r>
          </w:p>
        </w:tc>
      </w:tr>
      <w:tr w14:paraId="6757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exact"/>
        </w:trPr>
        <w:tc>
          <w:tcPr>
            <w:tcW w:w="996" w:type="dxa"/>
            <w:noWrap w:val="0"/>
            <w:vAlign w:val="center"/>
          </w:tcPr>
          <w:p w14:paraId="5B7A51B5">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1</w:t>
            </w:r>
          </w:p>
        </w:tc>
        <w:tc>
          <w:tcPr>
            <w:tcW w:w="1716" w:type="dxa"/>
            <w:noWrap w:val="0"/>
            <w:vAlign w:val="center"/>
          </w:tcPr>
          <w:p w14:paraId="4774363D">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计量标准器具核准</w:t>
            </w:r>
          </w:p>
        </w:tc>
        <w:tc>
          <w:tcPr>
            <w:tcW w:w="1368" w:type="dxa"/>
            <w:noWrap w:val="0"/>
            <w:vAlign w:val="center"/>
          </w:tcPr>
          <w:p w14:paraId="15E5F1C3">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行政许可</w:t>
            </w:r>
          </w:p>
        </w:tc>
        <w:tc>
          <w:tcPr>
            <w:tcW w:w="7980" w:type="dxa"/>
            <w:noWrap w:val="0"/>
            <w:vAlign w:val="center"/>
          </w:tcPr>
          <w:p w14:paraId="0EDE2AD5">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《中华人民共和国计量法》第八条 企业、事业单位根据需要，可以建立本单位使用的计量标准器具，其各项最高计量标准器具经有关人民政府计量行政部门主持考核合格后使用。</w:t>
            </w:r>
          </w:p>
          <w:p w14:paraId="5AA8B372">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 xml:space="preserve"> 《陕西省人民政府关于中国（陕西）自由贸易试验区实施部分省级管理事项的决定》（省政府令199号）</w:t>
            </w:r>
          </w:p>
        </w:tc>
        <w:tc>
          <w:tcPr>
            <w:tcW w:w="1485" w:type="dxa"/>
            <w:noWrap w:val="0"/>
            <w:vAlign w:val="center"/>
          </w:tcPr>
          <w:p w14:paraId="33AA3E1E">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行政审批</w:t>
            </w:r>
          </w:p>
          <w:p w14:paraId="24675899">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服务分局</w:t>
            </w:r>
          </w:p>
        </w:tc>
        <w:tc>
          <w:tcPr>
            <w:tcW w:w="1179" w:type="dxa"/>
            <w:noWrap w:val="0"/>
            <w:vAlign w:val="center"/>
          </w:tcPr>
          <w:p w14:paraId="58CB419C">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蒋团谋</w:t>
            </w:r>
          </w:p>
          <w:p w14:paraId="410C020D">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杨  洋</w:t>
            </w:r>
          </w:p>
          <w:p w14:paraId="33EEF1BB">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郭  倩</w:t>
            </w:r>
          </w:p>
        </w:tc>
      </w:tr>
      <w:tr w14:paraId="45AB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exact"/>
        </w:trPr>
        <w:tc>
          <w:tcPr>
            <w:tcW w:w="996" w:type="dxa"/>
            <w:noWrap w:val="0"/>
            <w:vAlign w:val="center"/>
          </w:tcPr>
          <w:p w14:paraId="3B9DC9B4">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2</w:t>
            </w:r>
          </w:p>
        </w:tc>
        <w:tc>
          <w:tcPr>
            <w:tcW w:w="1716" w:type="dxa"/>
            <w:noWrap w:val="0"/>
            <w:vAlign w:val="center"/>
          </w:tcPr>
          <w:p w14:paraId="6C7FAA7E">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特种设备使用登记</w:t>
            </w:r>
          </w:p>
        </w:tc>
        <w:tc>
          <w:tcPr>
            <w:tcW w:w="1368" w:type="dxa"/>
            <w:noWrap w:val="0"/>
            <w:vAlign w:val="center"/>
          </w:tcPr>
          <w:p w14:paraId="1EA9FE85">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行政许可</w:t>
            </w:r>
          </w:p>
        </w:tc>
        <w:tc>
          <w:tcPr>
            <w:tcW w:w="7980" w:type="dxa"/>
            <w:noWrap w:val="0"/>
            <w:vAlign w:val="center"/>
          </w:tcPr>
          <w:p w14:paraId="1F9B02DE">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《中华人民共和国特种设备安全法》第三十三条　特种设备使用单位应当在特种设备投入使用前或者投入使用后三十日内，向负责特种设备安全监督管理的部门办理使用登记，取得使用登记证书。登记标志应当置于该特种设备的显著位置。</w:t>
            </w:r>
          </w:p>
          <w:p w14:paraId="05728C41">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 xml:space="preserve"> 《陕西省人民政府关于中国（陕西）自由贸易试验区实施部分省级管理事项的决定》（省政府令第199号）</w:t>
            </w:r>
          </w:p>
        </w:tc>
        <w:tc>
          <w:tcPr>
            <w:tcW w:w="1485" w:type="dxa"/>
            <w:noWrap w:val="0"/>
            <w:vAlign w:val="center"/>
          </w:tcPr>
          <w:p w14:paraId="3569E585">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行政审批</w:t>
            </w:r>
          </w:p>
          <w:p w14:paraId="18A27D54">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服务分局</w:t>
            </w:r>
          </w:p>
        </w:tc>
        <w:tc>
          <w:tcPr>
            <w:tcW w:w="1179" w:type="dxa"/>
            <w:noWrap w:val="0"/>
            <w:vAlign w:val="center"/>
          </w:tcPr>
          <w:p w14:paraId="5975B5F1">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蒋团谋</w:t>
            </w:r>
          </w:p>
          <w:p w14:paraId="4715BB73">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杨  洋</w:t>
            </w:r>
          </w:p>
          <w:p w14:paraId="15B83EB5">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郭  倩</w:t>
            </w:r>
          </w:p>
        </w:tc>
      </w:tr>
      <w:tr w14:paraId="401F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7" w:hRule="exact"/>
        </w:trPr>
        <w:tc>
          <w:tcPr>
            <w:tcW w:w="996" w:type="dxa"/>
            <w:noWrap w:val="0"/>
            <w:vAlign w:val="center"/>
          </w:tcPr>
          <w:p w14:paraId="3C550622">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3</w:t>
            </w:r>
          </w:p>
        </w:tc>
        <w:tc>
          <w:tcPr>
            <w:tcW w:w="1716" w:type="dxa"/>
            <w:noWrap w:val="0"/>
            <w:vAlign w:val="center"/>
          </w:tcPr>
          <w:p w14:paraId="315E93CE">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企业登记注册</w:t>
            </w:r>
          </w:p>
        </w:tc>
        <w:tc>
          <w:tcPr>
            <w:tcW w:w="1368" w:type="dxa"/>
            <w:noWrap w:val="0"/>
            <w:vAlign w:val="center"/>
          </w:tcPr>
          <w:p w14:paraId="3AE5D668">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行政许可</w:t>
            </w:r>
          </w:p>
        </w:tc>
        <w:tc>
          <w:tcPr>
            <w:tcW w:w="7980" w:type="dxa"/>
            <w:noWrap w:val="0"/>
            <w:vAlign w:val="center"/>
          </w:tcPr>
          <w:p w14:paraId="03D116CE">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《中华人民共和国公司法》 第六条 设立公司，应当依法向公司登记机关申请设立登记。</w:t>
            </w:r>
          </w:p>
          <w:p w14:paraId="1B85396F">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《中华人民共和国合伙企业法》第九条 申请设立合伙企业，应当向企业登记机关提交登记申请书、合伙协议书、合伙人身份证明等文件。</w:t>
            </w:r>
          </w:p>
          <w:p w14:paraId="0E84F15F">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《中华人民共和国个人独资企业法》第九条：申请设立个人独资企业，应当由投资人或者其委托的代理人向个人独资企业所在地的登记机关提交设立申请书、投资人身份证明、生产经营场所使用证明等文件。</w:t>
            </w:r>
          </w:p>
          <w:p w14:paraId="3BFAAA58">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《中华人民共和国外商投资法》第二条 本法所称外商投资企业，是指全部或者部分由外国投资者投资，依照中国法律在中国境内经登记注册设立的企业。</w:t>
            </w:r>
          </w:p>
          <w:p w14:paraId="088DBDB6">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《中华人民共和国市场主体登记管理条例》第二条 本条例所称市场主体，是指在中华人民共和国境内以营利为目的从事经营活动的下列自然人、法人及非法人组织：</w:t>
            </w:r>
          </w:p>
          <w:p w14:paraId="02DF1D51">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（一）公司、非公司企业法人及其分支机构；</w:t>
            </w:r>
          </w:p>
          <w:p w14:paraId="607EF742">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（二）个人独资企业、合伙企业及其分支机构；</w:t>
            </w:r>
          </w:p>
          <w:p w14:paraId="702142C5">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（三）农民专业合作社（联合社）及其分支机构；</w:t>
            </w:r>
          </w:p>
          <w:p w14:paraId="4AE4691A">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（四）个体工商户；</w:t>
            </w:r>
          </w:p>
          <w:p w14:paraId="58021C05">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（五）外国公司分支机构；</w:t>
            </w:r>
          </w:p>
          <w:p w14:paraId="0B2B4377">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（六）法律、行政法规规定的其他市场主体。</w:t>
            </w:r>
          </w:p>
          <w:p w14:paraId="7B3DC97F">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第五条第二款 县级以上地方人民政府市场监督管理部门主管本辖区市场主体登记管理工作，加强统筹指导和监督管理</w:t>
            </w:r>
          </w:p>
        </w:tc>
        <w:tc>
          <w:tcPr>
            <w:tcW w:w="1485" w:type="dxa"/>
            <w:noWrap w:val="0"/>
            <w:vAlign w:val="center"/>
          </w:tcPr>
          <w:p w14:paraId="3E73A259">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行政审批</w:t>
            </w:r>
          </w:p>
          <w:p w14:paraId="21E51FB1">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服务分局</w:t>
            </w:r>
          </w:p>
        </w:tc>
        <w:tc>
          <w:tcPr>
            <w:tcW w:w="1179" w:type="dxa"/>
            <w:noWrap w:val="0"/>
            <w:vAlign w:val="center"/>
          </w:tcPr>
          <w:p w14:paraId="664C9FAB">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蒋团谋</w:t>
            </w:r>
          </w:p>
          <w:p w14:paraId="536CEC13">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杨  洋</w:t>
            </w:r>
          </w:p>
          <w:p w14:paraId="32E1831A">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郭  倩</w:t>
            </w:r>
          </w:p>
        </w:tc>
      </w:tr>
      <w:tr w14:paraId="3C7C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1" w:hRule="exact"/>
        </w:trPr>
        <w:tc>
          <w:tcPr>
            <w:tcW w:w="996" w:type="dxa"/>
            <w:noWrap w:val="0"/>
            <w:vAlign w:val="center"/>
          </w:tcPr>
          <w:p w14:paraId="535F6CC9">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4</w:t>
            </w:r>
          </w:p>
        </w:tc>
        <w:tc>
          <w:tcPr>
            <w:tcW w:w="1716" w:type="dxa"/>
            <w:noWrap w:val="0"/>
            <w:vAlign w:val="center"/>
          </w:tcPr>
          <w:p w14:paraId="67DFA937">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个体工商</w:t>
            </w:r>
            <w:bookmarkStart w:id="0" w:name="_GoBack"/>
            <w:bookmarkEnd w:id="0"/>
            <w:r>
              <w:rPr>
                <w:rFonts w:hint="eastAsia" w:ascii="仿宋_GB2312" w:hAnsi="仿宋_GB2312" w:eastAsia="仿宋_GB2312" w:cs="仿宋_GB2312"/>
                <w:kern w:val="0"/>
                <w:sz w:val="24"/>
                <w:szCs w:val="24"/>
                <w:highlight w:val="none"/>
                <w:lang w:val="en-US" w:eastAsia="zh-CN"/>
              </w:rPr>
              <w:t>户登记注册</w:t>
            </w:r>
          </w:p>
        </w:tc>
        <w:tc>
          <w:tcPr>
            <w:tcW w:w="1368" w:type="dxa"/>
            <w:noWrap w:val="0"/>
            <w:vAlign w:val="center"/>
          </w:tcPr>
          <w:p w14:paraId="3704B72C">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行政许可</w:t>
            </w:r>
          </w:p>
        </w:tc>
        <w:tc>
          <w:tcPr>
            <w:tcW w:w="7980" w:type="dxa"/>
            <w:noWrap w:val="0"/>
            <w:vAlign w:val="center"/>
          </w:tcPr>
          <w:p w14:paraId="1D456CA3">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《促进个体工商户发展条例》 第二条 有经营能力的公民在中华人民共和国境内从事工商业经营，依法登记为个体工商户的，适用本条例。</w:t>
            </w:r>
          </w:p>
          <w:p w14:paraId="6DDF6932">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《中华人民共和国市场主体登记管理条例》第二条　本条例所称市场主体，是指在中华人民共和国境内以营利为目的从事经营活动的下列自然人、法人及非法人组织：</w:t>
            </w:r>
          </w:p>
          <w:p w14:paraId="37656CAC">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（一）公司、非公司企业法人及其分支机构；</w:t>
            </w:r>
          </w:p>
          <w:p w14:paraId="3FB9D89A">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（二）个人独资企业、合伙企业及其分支机构；</w:t>
            </w:r>
          </w:p>
          <w:p w14:paraId="4955349A">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（三）农民专业合作社（联合社）及其分支机构；</w:t>
            </w:r>
          </w:p>
          <w:p w14:paraId="0FBFEACB">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（四）个体工商户；</w:t>
            </w:r>
          </w:p>
          <w:p w14:paraId="27A90DB4">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（五）外国公司分支机构；</w:t>
            </w:r>
          </w:p>
          <w:p w14:paraId="0417D5C2">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（六）法律、行政法规规定的其他市场主体。</w:t>
            </w:r>
          </w:p>
          <w:p w14:paraId="4504D4C7">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《中华人民共和国市场主体登记管理条例》第五条第二款 县级以上地方人民政府市场监督管理部门主管本辖区市场主体登记管理工作，加强统筹指导和监督管理。</w:t>
            </w:r>
          </w:p>
          <w:p w14:paraId="387CD3F1">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 xml:space="preserve"> </w:t>
            </w:r>
          </w:p>
          <w:p w14:paraId="66887ECE">
            <w:pPr>
              <w:jc w:val="left"/>
              <w:rPr>
                <w:rFonts w:hint="eastAsia" w:ascii="仿宋_GB2312" w:hAnsi="仿宋_GB2312" w:eastAsia="仿宋_GB2312" w:cs="仿宋_GB2312"/>
                <w:kern w:val="0"/>
                <w:sz w:val="24"/>
                <w:szCs w:val="24"/>
                <w:highlight w:val="none"/>
                <w:lang w:val="en-US" w:eastAsia="zh-CN"/>
              </w:rPr>
            </w:pPr>
          </w:p>
        </w:tc>
        <w:tc>
          <w:tcPr>
            <w:tcW w:w="1485" w:type="dxa"/>
            <w:noWrap w:val="0"/>
            <w:vAlign w:val="center"/>
          </w:tcPr>
          <w:p w14:paraId="5F6D1C2D">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行政审批</w:t>
            </w:r>
          </w:p>
          <w:p w14:paraId="69BD2F46">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服务分局</w:t>
            </w:r>
          </w:p>
        </w:tc>
        <w:tc>
          <w:tcPr>
            <w:tcW w:w="1179" w:type="dxa"/>
            <w:noWrap w:val="0"/>
            <w:vAlign w:val="center"/>
          </w:tcPr>
          <w:p w14:paraId="7AAF6DC3">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蒋团谋</w:t>
            </w:r>
          </w:p>
          <w:p w14:paraId="0DF9140F">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杨  洋</w:t>
            </w:r>
          </w:p>
          <w:p w14:paraId="54380119">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郭  倩</w:t>
            </w:r>
          </w:p>
        </w:tc>
      </w:tr>
      <w:tr w14:paraId="60B6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9" w:hRule="exact"/>
        </w:trPr>
        <w:tc>
          <w:tcPr>
            <w:tcW w:w="996" w:type="dxa"/>
            <w:noWrap w:val="0"/>
            <w:vAlign w:val="center"/>
          </w:tcPr>
          <w:p w14:paraId="566C14A8">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w:t>
            </w:r>
          </w:p>
        </w:tc>
        <w:tc>
          <w:tcPr>
            <w:tcW w:w="1716" w:type="dxa"/>
            <w:noWrap w:val="0"/>
            <w:vAlign w:val="center"/>
          </w:tcPr>
          <w:p w14:paraId="5E4D29B9">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农民专业合作社登记注册</w:t>
            </w:r>
          </w:p>
        </w:tc>
        <w:tc>
          <w:tcPr>
            <w:tcW w:w="1368" w:type="dxa"/>
            <w:noWrap w:val="0"/>
            <w:vAlign w:val="center"/>
          </w:tcPr>
          <w:p w14:paraId="4B3250A0">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行政许可</w:t>
            </w:r>
          </w:p>
        </w:tc>
        <w:tc>
          <w:tcPr>
            <w:tcW w:w="7980" w:type="dxa"/>
            <w:noWrap w:val="0"/>
            <w:vAlign w:val="center"/>
          </w:tcPr>
          <w:p w14:paraId="5F42F8BC">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《中华人民共和国农民专业合作社法》第五条 农民专业合作社依照本法登记，取得法人资格。</w:t>
            </w:r>
          </w:p>
          <w:p w14:paraId="5CF6E685">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第十六条　设立农民专业合作社，应当向工商行政管理部门提交下列文件，申请设立登记：</w:t>
            </w:r>
          </w:p>
          <w:p w14:paraId="45ED5110">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（一）登记申请书；</w:t>
            </w:r>
          </w:p>
          <w:p w14:paraId="361EF6F8">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（二）全体设立人签名、盖章的设立大会纪要；</w:t>
            </w:r>
          </w:p>
          <w:p w14:paraId="2A5CD045">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（三）全体设立人签名、盖章的章程；</w:t>
            </w:r>
          </w:p>
          <w:p w14:paraId="26647B4A">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（四）法定代表人、理事的任职文件及身份证明；</w:t>
            </w:r>
          </w:p>
          <w:p w14:paraId="697E01E7">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（五）出资成员签名、盖章的出资清单；</w:t>
            </w:r>
          </w:p>
          <w:p w14:paraId="0CC7C55D">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（六）住所使用证明；</w:t>
            </w:r>
          </w:p>
          <w:p w14:paraId="361DFE8E">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（七）法律、行政法规规定的其他文件。</w:t>
            </w:r>
          </w:p>
          <w:p w14:paraId="0F263DD1">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《中华人民共和国市场主体登记管理条例》第二条　本条例所称市场主体，是指在中华人民共和国境内以营利为目的从事经营活动的下列自然人、法人及非法人组织：</w:t>
            </w:r>
          </w:p>
          <w:p w14:paraId="26ABAE3C">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（一）公司、非公司企业法人及其分支机构；</w:t>
            </w:r>
          </w:p>
          <w:p w14:paraId="0D839A46">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（二）个人独资企业、合伙企业及其分支机构；</w:t>
            </w:r>
          </w:p>
          <w:p w14:paraId="40589794">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（三）农民专业合作社（联合社）及其分支机构；</w:t>
            </w:r>
          </w:p>
          <w:p w14:paraId="5B9F1D43">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（四）个体工商户；</w:t>
            </w:r>
          </w:p>
          <w:p w14:paraId="29126425">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（五）外国公司分支机构；</w:t>
            </w:r>
          </w:p>
          <w:p w14:paraId="69579508">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（六）法律、行政法规规定的其他市场主体。</w:t>
            </w:r>
          </w:p>
          <w:p w14:paraId="0C30848F">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《中华人民共和国市场主体登记管理条例》第五条第二款　县级以上地方人民政府市场监督管理部门主管本辖区市场主体登记管理工作，加强统筹指导和监督管理。</w:t>
            </w:r>
          </w:p>
        </w:tc>
        <w:tc>
          <w:tcPr>
            <w:tcW w:w="1485" w:type="dxa"/>
            <w:noWrap w:val="0"/>
            <w:vAlign w:val="center"/>
          </w:tcPr>
          <w:p w14:paraId="78031B25">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行政审批</w:t>
            </w:r>
          </w:p>
          <w:p w14:paraId="119F816A">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服务分局</w:t>
            </w:r>
          </w:p>
        </w:tc>
        <w:tc>
          <w:tcPr>
            <w:tcW w:w="1179" w:type="dxa"/>
            <w:noWrap w:val="0"/>
            <w:vAlign w:val="center"/>
          </w:tcPr>
          <w:p w14:paraId="4DB54524">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蒋团谋</w:t>
            </w:r>
          </w:p>
          <w:p w14:paraId="187E441F">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杨  洋</w:t>
            </w:r>
          </w:p>
          <w:p w14:paraId="6B3292DF">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郭  倩</w:t>
            </w:r>
          </w:p>
        </w:tc>
      </w:tr>
      <w:tr w14:paraId="3BDA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3" w:hRule="exact"/>
        </w:trPr>
        <w:tc>
          <w:tcPr>
            <w:tcW w:w="996" w:type="dxa"/>
            <w:noWrap w:val="0"/>
            <w:vAlign w:val="center"/>
          </w:tcPr>
          <w:p w14:paraId="442089C2">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6</w:t>
            </w:r>
          </w:p>
        </w:tc>
        <w:tc>
          <w:tcPr>
            <w:tcW w:w="1716" w:type="dxa"/>
            <w:noWrap w:val="0"/>
            <w:vAlign w:val="center"/>
          </w:tcPr>
          <w:p w14:paraId="69C18325">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股权出质登记</w:t>
            </w:r>
          </w:p>
        </w:tc>
        <w:tc>
          <w:tcPr>
            <w:tcW w:w="1368" w:type="dxa"/>
            <w:noWrap w:val="0"/>
            <w:vAlign w:val="center"/>
          </w:tcPr>
          <w:p w14:paraId="45BC4746">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行政确认</w:t>
            </w:r>
          </w:p>
        </w:tc>
        <w:tc>
          <w:tcPr>
            <w:tcW w:w="7980" w:type="dxa"/>
            <w:noWrap w:val="0"/>
            <w:vAlign w:val="center"/>
          </w:tcPr>
          <w:p w14:paraId="0E6C276E">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 xml:space="preserve">《中华人民共和国民法典》 第四百四十三条第一款 以基金份额、股权出质的，质权自办理出质登记时设立。 </w:t>
            </w:r>
          </w:p>
          <w:p w14:paraId="2FACCBD8">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《股权出质登记办法》第三条 负责出质股权所在公司登记的市场监督管理部门是股权出质登记机关（以下简称登记机关）。 各级市场监督管理部门的企业登记机构是股权出质登记机构。第六条 申请股权出质设立登记、变更登记和注销登记，应当由出质人和质权人共同提出。申请股权出质撤销登记，可以由出质人或者质权人单方提出。第八条 出质股权数额变更，以及出质人、质权人姓名（名称）或者出质股权所在公司名称更改的，应当申请办理变更登记。第十条 出现主债权消灭、质权实现、质权人放弃质权或法律规定的其他情形导致质权消灭的，应当申请办理注销登记。第十二条 质押合同被依法确认无效或者被撤销的，应当申请办理撤销登记。</w:t>
            </w:r>
          </w:p>
        </w:tc>
        <w:tc>
          <w:tcPr>
            <w:tcW w:w="1485" w:type="dxa"/>
            <w:noWrap w:val="0"/>
            <w:vAlign w:val="center"/>
          </w:tcPr>
          <w:p w14:paraId="4D4C672F">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行政审批</w:t>
            </w:r>
          </w:p>
          <w:p w14:paraId="38902A71">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服务分局</w:t>
            </w:r>
          </w:p>
        </w:tc>
        <w:tc>
          <w:tcPr>
            <w:tcW w:w="1179" w:type="dxa"/>
            <w:noWrap w:val="0"/>
            <w:vAlign w:val="center"/>
          </w:tcPr>
          <w:p w14:paraId="1C40D68A">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蒋团谋</w:t>
            </w:r>
          </w:p>
          <w:p w14:paraId="40C39D23">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杨  洋</w:t>
            </w:r>
          </w:p>
          <w:p w14:paraId="0E654E02">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郭  倩</w:t>
            </w:r>
          </w:p>
        </w:tc>
      </w:tr>
      <w:tr w14:paraId="605B8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exact"/>
        </w:trPr>
        <w:tc>
          <w:tcPr>
            <w:tcW w:w="996" w:type="dxa"/>
            <w:noWrap w:val="0"/>
            <w:vAlign w:val="center"/>
          </w:tcPr>
          <w:p w14:paraId="09E76623">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7</w:t>
            </w:r>
          </w:p>
        </w:tc>
        <w:tc>
          <w:tcPr>
            <w:tcW w:w="1716" w:type="dxa"/>
            <w:noWrap w:val="0"/>
            <w:vAlign w:val="center"/>
          </w:tcPr>
          <w:p w14:paraId="7D5F85C0">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第一类医疗器械产品备案</w:t>
            </w:r>
          </w:p>
        </w:tc>
        <w:tc>
          <w:tcPr>
            <w:tcW w:w="1368" w:type="dxa"/>
            <w:noWrap w:val="0"/>
            <w:vAlign w:val="center"/>
          </w:tcPr>
          <w:p w14:paraId="0BC959EC">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行政确认（备案）</w:t>
            </w:r>
          </w:p>
        </w:tc>
        <w:tc>
          <w:tcPr>
            <w:tcW w:w="7980" w:type="dxa"/>
            <w:noWrap w:val="0"/>
            <w:vAlign w:val="center"/>
          </w:tcPr>
          <w:p w14:paraId="349EE72E">
            <w:pPr>
              <w:jc w:val="both"/>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《医疗器械监督管理条例》第十五条　第一类医疗器械产品备案，由备案人向所在地设区的市级人民政府负责药品监督管理的部门提交备案资料。　　</w:t>
            </w:r>
          </w:p>
        </w:tc>
        <w:tc>
          <w:tcPr>
            <w:tcW w:w="1485" w:type="dxa"/>
            <w:noWrap w:val="0"/>
            <w:vAlign w:val="center"/>
          </w:tcPr>
          <w:p w14:paraId="63F08EEB">
            <w:pPr>
              <w:jc w:val="center"/>
              <w:rPr>
                <w:rFonts w:hint="eastAsia" w:ascii="仿宋_GB2312" w:hAnsi="仿宋_GB2312" w:eastAsia="仿宋_GB2312" w:cs="仿宋_GB2312"/>
                <w:kern w:val="0"/>
                <w:sz w:val="24"/>
                <w:szCs w:val="24"/>
                <w:highlight w:val="none"/>
                <w:lang w:val="en-US" w:eastAsia="zh-CN"/>
              </w:rPr>
            </w:pPr>
          </w:p>
          <w:p w14:paraId="78F32C95">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药品监管科</w:t>
            </w:r>
          </w:p>
        </w:tc>
        <w:tc>
          <w:tcPr>
            <w:tcW w:w="1179" w:type="dxa"/>
            <w:noWrap w:val="0"/>
            <w:vAlign w:val="top"/>
          </w:tcPr>
          <w:p w14:paraId="6FB80BE8">
            <w:pPr>
              <w:jc w:val="center"/>
              <w:rPr>
                <w:rFonts w:hint="eastAsia" w:ascii="仿宋_GB2312" w:hAnsi="仿宋_GB2312" w:eastAsia="仿宋_GB2312" w:cs="仿宋_GB2312"/>
                <w:kern w:val="0"/>
                <w:sz w:val="24"/>
                <w:szCs w:val="24"/>
                <w:highlight w:val="none"/>
                <w:lang w:val="en-US" w:eastAsia="zh-CN"/>
              </w:rPr>
            </w:pPr>
          </w:p>
          <w:p w14:paraId="1DB9A044">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王秀丽 张亚丽</w:t>
            </w:r>
          </w:p>
          <w:p w14:paraId="567D6A20">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刘雅芝</w:t>
            </w:r>
          </w:p>
        </w:tc>
      </w:tr>
      <w:tr w14:paraId="5FB7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exact"/>
        </w:trPr>
        <w:tc>
          <w:tcPr>
            <w:tcW w:w="996" w:type="dxa"/>
            <w:noWrap w:val="0"/>
            <w:vAlign w:val="center"/>
          </w:tcPr>
          <w:p w14:paraId="0AE15322">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8</w:t>
            </w:r>
          </w:p>
        </w:tc>
        <w:tc>
          <w:tcPr>
            <w:tcW w:w="1716" w:type="dxa"/>
            <w:noWrap w:val="0"/>
            <w:vAlign w:val="top"/>
          </w:tcPr>
          <w:p w14:paraId="3A8BBA70">
            <w:pPr>
              <w:jc w:val="center"/>
              <w:rPr>
                <w:rFonts w:hint="eastAsia" w:ascii="仿宋_GB2312" w:hAnsi="仿宋_GB2312" w:eastAsia="仿宋_GB2312" w:cs="仿宋_GB2312"/>
                <w:kern w:val="0"/>
                <w:sz w:val="24"/>
                <w:szCs w:val="24"/>
                <w:highlight w:val="none"/>
                <w:lang w:val="en-US" w:eastAsia="zh-CN"/>
              </w:rPr>
            </w:pPr>
          </w:p>
          <w:p w14:paraId="61281E6E">
            <w:pPr>
              <w:jc w:val="center"/>
              <w:rPr>
                <w:rFonts w:hint="eastAsia" w:ascii="仿宋_GB2312" w:hAnsi="仿宋_GB2312" w:eastAsia="仿宋_GB2312" w:cs="仿宋_GB2312"/>
                <w:kern w:val="0"/>
                <w:sz w:val="24"/>
                <w:szCs w:val="24"/>
                <w:highlight w:val="none"/>
                <w:lang w:val="en-US" w:eastAsia="zh-CN"/>
              </w:rPr>
            </w:pPr>
          </w:p>
          <w:p w14:paraId="7C4A6172">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第一类医疗器械生产备案</w:t>
            </w:r>
          </w:p>
        </w:tc>
        <w:tc>
          <w:tcPr>
            <w:tcW w:w="1368" w:type="dxa"/>
            <w:noWrap w:val="0"/>
            <w:vAlign w:val="top"/>
          </w:tcPr>
          <w:p w14:paraId="16A1AA38">
            <w:pPr>
              <w:jc w:val="center"/>
              <w:rPr>
                <w:rFonts w:hint="eastAsia" w:ascii="仿宋_GB2312" w:hAnsi="仿宋_GB2312" w:eastAsia="仿宋_GB2312" w:cs="仿宋_GB2312"/>
                <w:kern w:val="0"/>
                <w:sz w:val="24"/>
                <w:szCs w:val="24"/>
                <w:highlight w:val="none"/>
                <w:lang w:val="en-US" w:eastAsia="zh-CN"/>
              </w:rPr>
            </w:pPr>
          </w:p>
          <w:p w14:paraId="1AEA4B42">
            <w:pPr>
              <w:jc w:val="center"/>
              <w:rPr>
                <w:rFonts w:hint="eastAsia" w:ascii="仿宋_GB2312" w:hAnsi="仿宋_GB2312" w:eastAsia="仿宋_GB2312" w:cs="仿宋_GB2312"/>
                <w:kern w:val="0"/>
                <w:sz w:val="24"/>
                <w:szCs w:val="24"/>
                <w:highlight w:val="none"/>
                <w:lang w:val="en-US" w:eastAsia="zh-CN"/>
              </w:rPr>
            </w:pPr>
          </w:p>
          <w:p w14:paraId="6D178188">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行政确认（备案）</w:t>
            </w:r>
          </w:p>
        </w:tc>
        <w:tc>
          <w:tcPr>
            <w:tcW w:w="7980" w:type="dxa"/>
            <w:noWrap w:val="0"/>
            <w:vAlign w:val="top"/>
          </w:tcPr>
          <w:p w14:paraId="16E87EAB">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《医疗器械监督管理条例》第三十一条 从事第一类医疗器械生产的，应当向所在地设区的市级人民政府负责药品监督管理的部门备案，在提交符合本条例第三十条规定条件的有关资料后即完成备案。</w:t>
            </w:r>
          </w:p>
          <w:p w14:paraId="3855C678">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医疗器械备案人自行生产第一类医疗器械的，可以在依照本条例第十五条规定进行产品备案时一并提交符合本条例第三十条规定条件的有关资料，即完成生产备案。</w:t>
            </w:r>
          </w:p>
        </w:tc>
        <w:tc>
          <w:tcPr>
            <w:tcW w:w="1485" w:type="dxa"/>
            <w:noWrap w:val="0"/>
            <w:vAlign w:val="center"/>
          </w:tcPr>
          <w:p w14:paraId="4F5F8D82">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药品监管科</w:t>
            </w:r>
          </w:p>
        </w:tc>
        <w:tc>
          <w:tcPr>
            <w:tcW w:w="1179" w:type="dxa"/>
            <w:noWrap w:val="0"/>
            <w:vAlign w:val="top"/>
          </w:tcPr>
          <w:p w14:paraId="0E62743F">
            <w:pPr>
              <w:jc w:val="center"/>
              <w:rPr>
                <w:rFonts w:hint="eastAsia" w:ascii="仿宋_GB2312" w:hAnsi="仿宋_GB2312" w:eastAsia="仿宋_GB2312" w:cs="仿宋_GB2312"/>
                <w:kern w:val="0"/>
                <w:sz w:val="24"/>
                <w:szCs w:val="24"/>
                <w:highlight w:val="none"/>
                <w:lang w:val="en-US" w:eastAsia="zh-CN"/>
              </w:rPr>
            </w:pPr>
          </w:p>
          <w:p w14:paraId="103E1FB1">
            <w:pPr>
              <w:jc w:val="center"/>
              <w:rPr>
                <w:rFonts w:hint="eastAsia" w:ascii="仿宋_GB2312" w:hAnsi="仿宋_GB2312" w:eastAsia="仿宋_GB2312" w:cs="仿宋_GB2312"/>
                <w:kern w:val="0"/>
                <w:sz w:val="24"/>
                <w:szCs w:val="24"/>
                <w:highlight w:val="none"/>
                <w:lang w:val="en-US" w:eastAsia="zh-CN"/>
              </w:rPr>
            </w:pPr>
          </w:p>
          <w:p w14:paraId="18D4B2AA">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王秀丽</w:t>
            </w:r>
          </w:p>
          <w:p w14:paraId="534BC1C7">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张亚丽</w:t>
            </w:r>
          </w:p>
          <w:p w14:paraId="1CCB213A">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刘雅芝</w:t>
            </w:r>
          </w:p>
        </w:tc>
      </w:tr>
      <w:tr w14:paraId="43BD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1" w:hRule="exact"/>
        </w:trPr>
        <w:tc>
          <w:tcPr>
            <w:tcW w:w="996" w:type="dxa"/>
            <w:noWrap w:val="0"/>
            <w:vAlign w:val="center"/>
          </w:tcPr>
          <w:p w14:paraId="1BF59C8E">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9</w:t>
            </w:r>
          </w:p>
        </w:tc>
        <w:tc>
          <w:tcPr>
            <w:tcW w:w="1716" w:type="dxa"/>
            <w:noWrap w:val="0"/>
            <w:vAlign w:val="center"/>
          </w:tcPr>
          <w:p w14:paraId="261238F7">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企业名称争议裁决</w:t>
            </w:r>
          </w:p>
        </w:tc>
        <w:tc>
          <w:tcPr>
            <w:tcW w:w="1368" w:type="dxa"/>
            <w:noWrap w:val="0"/>
            <w:vAlign w:val="center"/>
          </w:tcPr>
          <w:p w14:paraId="59BDCF22">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行政裁决</w:t>
            </w:r>
          </w:p>
        </w:tc>
        <w:tc>
          <w:tcPr>
            <w:tcW w:w="7980" w:type="dxa"/>
            <w:noWrap w:val="0"/>
            <w:vAlign w:val="center"/>
          </w:tcPr>
          <w:p w14:paraId="468CE5E4">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《企业名称登记管理规定》第二十一条 企业认为其他企业名称侵犯本企业名称合法权益的，可以向人民法院起诉或者请求为涉嫌侵权企业办理登记的企业登记机关处理。</w:t>
            </w:r>
          </w:p>
          <w:p w14:paraId="39793AAD">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企业登记机关受理申请后，可以进行调解；调解不成的，企业登记机关应当自受理之日起3个月内作出行政裁决。</w:t>
            </w:r>
          </w:p>
          <w:p w14:paraId="5F5BD0FC">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《企业名称登记管理规定实施办法》第三十五条 企业登记机关负责企业名称争议裁决工作，应当根据工作需要依法配备符合条件的裁决人员，为企业名称争议裁决提供保障。</w:t>
            </w:r>
          </w:p>
        </w:tc>
        <w:tc>
          <w:tcPr>
            <w:tcW w:w="1485" w:type="dxa"/>
            <w:noWrap w:val="0"/>
            <w:vAlign w:val="center"/>
          </w:tcPr>
          <w:p w14:paraId="63238C96">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行政审批</w:t>
            </w:r>
          </w:p>
          <w:p w14:paraId="526DAF72">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服务分局</w:t>
            </w:r>
          </w:p>
        </w:tc>
        <w:tc>
          <w:tcPr>
            <w:tcW w:w="1179" w:type="dxa"/>
            <w:noWrap w:val="0"/>
            <w:vAlign w:val="center"/>
          </w:tcPr>
          <w:p w14:paraId="049FC295">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蒋团谋</w:t>
            </w:r>
          </w:p>
          <w:p w14:paraId="6FFF5AC6">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杨  洋</w:t>
            </w:r>
          </w:p>
          <w:p w14:paraId="5A6D2E66">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郭  倩</w:t>
            </w:r>
          </w:p>
        </w:tc>
      </w:tr>
      <w:tr w14:paraId="75EB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exact"/>
        </w:trPr>
        <w:tc>
          <w:tcPr>
            <w:tcW w:w="996" w:type="dxa"/>
            <w:noWrap w:val="0"/>
            <w:vAlign w:val="center"/>
          </w:tcPr>
          <w:p w14:paraId="0C47496B">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10</w:t>
            </w:r>
          </w:p>
        </w:tc>
        <w:tc>
          <w:tcPr>
            <w:tcW w:w="1716" w:type="dxa"/>
            <w:noWrap w:val="0"/>
            <w:vAlign w:val="center"/>
          </w:tcPr>
          <w:p w14:paraId="45811D9D">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计量纠纷的仲裁检定</w:t>
            </w:r>
          </w:p>
        </w:tc>
        <w:tc>
          <w:tcPr>
            <w:tcW w:w="1368" w:type="dxa"/>
            <w:noWrap w:val="0"/>
            <w:vAlign w:val="center"/>
          </w:tcPr>
          <w:p w14:paraId="391BF604">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行政裁决</w:t>
            </w:r>
          </w:p>
        </w:tc>
        <w:tc>
          <w:tcPr>
            <w:tcW w:w="7980" w:type="dxa"/>
            <w:noWrap w:val="0"/>
            <w:vAlign w:val="top"/>
          </w:tcPr>
          <w:p w14:paraId="44C964EB">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《计量法实施细则》第三十四条 县级以上人民政府计量行政部门负责计量纠纷的调解和仲裁检定，并可根据司法机关、合同管理机关、涉外仲裁机关或者其他单位的委托，指定有关计量检定机构进行仲裁检定。</w:t>
            </w:r>
          </w:p>
        </w:tc>
        <w:tc>
          <w:tcPr>
            <w:tcW w:w="1485" w:type="dxa"/>
            <w:noWrap w:val="0"/>
            <w:vAlign w:val="top"/>
          </w:tcPr>
          <w:p w14:paraId="6339B605">
            <w:pPr>
              <w:jc w:val="left"/>
              <w:rPr>
                <w:rFonts w:hint="eastAsia" w:ascii="仿宋_GB2312" w:hAnsi="仿宋_GB2312" w:eastAsia="仿宋_GB2312" w:cs="仿宋_GB2312"/>
                <w:kern w:val="0"/>
                <w:sz w:val="24"/>
                <w:szCs w:val="24"/>
                <w:highlight w:val="none"/>
                <w:lang w:val="en-US" w:eastAsia="zh-CN"/>
              </w:rPr>
            </w:pPr>
          </w:p>
          <w:p w14:paraId="38C0E378">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质量发展科</w:t>
            </w:r>
          </w:p>
        </w:tc>
        <w:tc>
          <w:tcPr>
            <w:tcW w:w="1179" w:type="dxa"/>
            <w:noWrap w:val="0"/>
            <w:vAlign w:val="center"/>
          </w:tcPr>
          <w:p w14:paraId="1B372FB8">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雷小宁</w:t>
            </w:r>
            <w:r>
              <w:rPr>
                <w:rFonts w:ascii="仿宋_GB2312" w:eastAsia="仿宋_GB2312"/>
                <w:sz w:val="28"/>
                <w:szCs w:val="28"/>
              </w:rPr>
              <w:t xml:space="preserve"> </w:t>
            </w:r>
            <w:r>
              <w:rPr>
                <w:rFonts w:hint="eastAsia" w:ascii="仿宋_GB2312" w:hAnsi="仿宋_GB2312" w:eastAsia="仿宋_GB2312" w:cs="仿宋_GB2312"/>
                <w:kern w:val="0"/>
                <w:sz w:val="24"/>
                <w:szCs w:val="24"/>
                <w:highlight w:val="none"/>
                <w:lang w:val="en-US" w:eastAsia="zh-CN"/>
              </w:rPr>
              <w:t>温耀文</w:t>
            </w:r>
          </w:p>
        </w:tc>
      </w:tr>
      <w:tr w14:paraId="29E4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3" w:hRule="exact"/>
        </w:trPr>
        <w:tc>
          <w:tcPr>
            <w:tcW w:w="996" w:type="dxa"/>
            <w:noWrap w:val="0"/>
            <w:vAlign w:val="center"/>
          </w:tcPr>
          <w:p w14:paraId="6FAF7666">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11</w:t>
            </w:r>
          </w:p>
        </w:tc>
        <w:tc>
          <w:tcPr>
            <w:tcW w:w="1716" w:type="dxa"/>
            <w:noWrap w:val="0"/>
            <w:vAlign w:val="center"/>
          </w:tcPr>
          <w:p w14:paraId="4A3A97E6">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sz w:val="24"/>
                <w:szCs w:val="32"/>
                <w:vertAlign w:val="baseline"/>
                <w:lang w:val="en-US" w:eastAsia="zh-CN"/>
              </w:rPr>
              <w:t>专利侵权纠纷裁决</w:t>
            </w:r>
          </w:p>
        </w:tc>
        <w:tc>
          <w:tcPr>
            <w:tcW w:w="1368" w:type="dxa"/>
            <w:noWrap w:val="0"/>
            <w:vAlign w:val="center"/>
          </w:tcPr>
          <w:p w14:paraId="644DF64A">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sz w:val="24"/>
                <w:szCs w:val="32"/>
                <w:vertAlign w:val="baseline"/>
                <w:lang w:val="en-US" w:eastAsia="zh-CN"/>
              </w:rPr>
              <w:t>行政裁决</w:t>
            </w:r>
          </w:p>
        </w:tc>
        <w:tc>
          <w:tcPr>
            <w:tcW w:w="7980" w:type="dxa"/>
            <w:noWrap w:val="0"/>
            <w:vAlign w:val="center"/>
          </w:tcPr>
          <w:p w14:paraId="6CFA21B9">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color w:val="auto"/>
                <w:kern w:val="0"/>
                <w:sz w:val="24"/>
                <w:highlight w:val="none"/>
                <w:shd w:val="clear" w:color="auto" w:fill="FFFFFF"/>
                <w:lang w:eastAsia="zh-CN" w:bidi="ar"/>
              </w:rPr>
              <w:t>《</w:t>
            </w:r>
            <w:r>
              <w:rPr>
                <w:rFonts w:hint="eastAsia" w:ascii="仿宋_GB2312" w:hAnsi="仿宋_GB2312" w:eastAsia="仿宋_GB2312" w:cs="仿宋_GB2312"/>
                <w:color w:val="auto"/>
                <w:kern w:val="0"/>
                <w:sz w:val="24"/>
                <w:highlight w:val="none"/>
                <w:shd w:val="clear" w:color="auto" w:fill="FFFFFF"/>
                <w:lang w:bidi="ar"/>
              </w:rPr>
              <w:t>陕西省知识产权保护和促进条例</w:t>
            </w:r>
            <w:r>
              <w:rPr>
                <w:rFonts w:hint="eastAsia" w:ascii="仿宋_GB2312" w:hAnsi="仿宋_GB2312" w:eastAsia="仿宋_GB2312" w:cs="仿宋_GB2312"/>
                <w:color w:val="auto"/>
                <w:kern w:val="0"/>
                <w:sz w:val="24"/>
                <w:highlight w:val="none"/>
                <w:shd w:val="clear" w:color="auto" w:fill="FFFFFF"/>
                <w:lang w:eastAsia="zh-CN" w:bidi="ar"/>
              </w:rPr>
              <w:t xml:space="preserve">》第二十九条 </w:t>
            </w:r>
            <w:r>
              <w:rPr>
                <w:rFonts w:hint="eastAsia" w:ascii="仿宋_GB2312" w:hAnsi="仿宋_GB2312" w:eastAsia="仿宋_GB2312" w:cs="仿宋_GB2312"/>
                <w:color w:val="auto"/>
                <w:kern w:val="0"/>
                <w:sz w:val="24"/>
                <w:highlight w:val="none"/>
                <w:shd w:val="clear" w:color="auto" w:fill="FFFFFF"/>
                <w:lang w:bidi="ar"/>
              </w:rPr>
              <w:t>县级以上知识产权主管部门依法受理专利侵权纠纷行政裁决申请，作出行政裁决前可以根据当事人请求先行调解，除当事人达成调解协议并撤回处理请求外，应当作出专利侵权纠纷行政裁决，认定侵权行为是否成立。认定侵权行为成立的，应当责令侵权人立即停止侵权行为；认定侵权行为不成立的，应当驳回请求人的全部请求。</w:t>
            </w:r>
          </w:p>
        </w:tc>
        <w:tc>
          <w:tcPr>
            <w:tcW w:w="1485" w:type="dxa"/>
            <w:noWrap w:val="0"/>
            <w:vAlign w:val="center"/>
          </w:tcPr>
          <w:p w14:paraId="15A2E1E5">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sz w:val="24"/>
                <w:szCs w:val="32"/>
                <w:vertAlign w:val="baseline"/>
                <w:lang w:val="en-US" w:eastAsia="zh-CN"/>
              </w:rPr>
              <w:t>知识产权科</w:t>
            </w:r>
          </w:p>
        </w:tc>
        <w:tc>
          <w:tcPr>
            <w:tcW w:w="1179" w:type="dxa"/>
            <w:noWrap w:val="0"/>
            <w:vAlign w:val="center"/>
          </w:tcPr>
          <w:p w14:paraId="6498BE28">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2"/>
                <w:sz w:val="24"/>
                <w:szCs w:val="32"/>
                <w:vertAlign w:val="baseline"/>
                <w:lang w:val="en-US" w:eastAsia="zh-CN" w:bidi="ar-SA"/>
              </w:rPr>
            </w:pPr>
            <w:r>
              <w:rPr>
                <w:rFonts w:hint="eastAsia" w:ascii="仿宋_GB2312" w:hAnsi="仿宋_GB2312" w:eastAsia="仿宋_GB2312" w:cs="仿宋_GB2312"/>
                <w:kern w:val="2"/>
                <w:sz w:val="24"/>
                <w:szCs w:val="32"/>
                <w:vertAlign w:val="baseline"/>
                <w:lang w:val="en-US" w:eastAsia="zh-CN" w:bidi="ar-SA"/>
              </w:rPr>
              <w:t>刘  洋</w:t>
            </w:r>
          </w:p>
          <w:p w14:paraId="54AE06A1">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2"/>
                <w:sz w:val="24"/>
                <w:szCs w:val="32"/>
                <w:vertAlign w:val="baseline"/>
                <w:lang w:val="en-US" w:eastAsia="zh-CN" w:bidi="ar-SA"/>
              </w:rPr>
            </w:pPr>
            <w:r>
              <w:rPr>
                <w:rFonts w:hint="eastAsia" w:ascii="仿宋_GB2312" w:hAnsi="仿宋_GB2312" w:eastAsia="仿宋_GB2312" w:cs="仿宋_GB2312"/>
                <w:kern w:val="2"/>
                <w:sz w:val="24"/>
                <w:szCs w:val="32"/>
                <w:vertAlign w:val="baseline"/>
                <w:lang w:val="en-US" w:eastAsia="zh-CN" w:bidi="ar-SA"/>
              </w:rPr>
              <w:t>汪  璇</w:t>
            </w:r>
          </w:p>
          <w:p w14:paraId="056BE28C">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kern w:val="2"/>
                <w:sz w:val="24"/>
                <w:szCs w:val="32"/>
                <w:vertAlign w:val="baseline"/>
                <w:lang w:val="en-US" w:eastAsia="zh-CN" w:bidi="ar-SA"/>
              </w:rPr>
            </w:pPr>
            <w:r>
              <w:rPr>
                <w:rFonts w:hint="eastAsia" w:ascii="仿宋_GB2312" w:hAnsi="仿宋_GB2312" w:eastAsia="仿宋_GB2312" w:cs="仿宋_GB2312"/>
                <w:kern w:val="2"/>
                <w:sz w:val="24"/>
                <w:szCs w:val="32"/>
                <w:vertAlign w:val="baseline"/>
                <w:lang w:val="en-US" w:eastAsia="zh-CN" w:bidi="ar-SA"/>
              </w:rPr>
              <w:t>王  垚</w:t>
            </w:r>
          </w:p>
        </w:tc>
      </w:tr>
      <w:tr w14:paraId="7730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exact"/>
        </w:trPr>
        <w:tc>
          <w:tcPr>
            <w:tcW w:w="996" w:type="dxa"/>
            <w:noWrap w:val="0"/>
            <w:vAlign w:val="center"/>
          </w:tcPr>
          <w:p w14:paraId="19E5E7B9">
            <w:pPr>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12</w:t>
            </w:r>
          </w:p>
        </w:tc>
        <w:tc>
          <w:tcPr>
            <w:tcW w:w="1716" w:type="dxa"/>
            <w:noWrap w:val="0"/>
            <w:vAlign w:val="center"/>
          </w:tcPr>
          <w:p w14:paraId="35E434EA">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color w:val="auto"/>
                <w:kern w:val="0"/>
                <w:sz w:val="24"/>
                <w:highlight w:val="none"/>
                <w:shd w:val="clear" w:color="auto" w:fill="FFFFFF"/>
                <w:lang w:eastAsia="zh-CN" w:bidi="ar"/>
              </w:rPr>
              <w:t>陕西省专利奖</w:t>
            </w:r>
          </w:p>
        </w:tc>
        <w:tc>
          <w:tcPr>
            <w:tcW w:w="1368" w:type="dxa"/>
            <w:noWrap w:val="0"/>
            <w:vAlign w:val="center"/>
          </w:tcPr>
          <w:p w14:paraId="61D8113A">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color w:val="auto"/>
                <w:kern w:val="0"/>
                <w:sz w:val="24"/>
                <w:highlight w:val="none"/>
                <w:shd w:val="clear" w:color="auto" w:fill="FFFFFF"/>
                <w:lang w:bidi="ar"/>
              </w:rPr>
              <w:t>行政奖励</w:t>
            </w:r>
          </w:p>
        </w:tc>
        <w:tc>
          <w:tcPr>
            <w:tcW w:w="7980" w:type="dxa"/>
            <w:noWrap w:val="0"/>
            <w:vAlign w:val="center"/>
          </w:tcPr>
          <w:p w14:paraId="73D19974">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bidi="ar"/>
              </w:rPr>
            </w:pPr>
            <w:r>
              <w:rPr>
                <w:rFonts w:hint="eastAsia" w:ascii="仿宋_GB2312" w:hAnsi="仿宋_GB2312" w:eastAsia="仿宋_GB2312" w:cs="仿宋_GB2312"/>
                <w:color w:val="auto"/>
                <w:kern w:val="0"/>
                <w:sz w:val="24"/>
                <w:highlight w:val="none"/>
                <w:shd w:val="clear" w:color="auto" w:fill="FFFFFF"/>
                <w:lang w:eastAsia="zh-CN" w:bidi="ar"/>
              </w:rPr>
              <w:t>《陕西省专利条例》</w:t>
            </w:r>
            <w:r>
              <w:rPr>
                <w:rFonts w:hint="eastAsia" w:ascii="仿宋_GB2312" w:hAnsi="仿宋_GB2312" w:eastAsia="仿宋_GB2312" w:cs="仿宋_GB2312"/>
                <w:color w:val="auto"/>
                <w:kern w:val="0"/>
                <w:sz w:val="24"/>
                <w:highlight w:val="none"/>
                <w:shd w:val="clear" w:color="auto" w:fill="FFFFFF"/>
                <w:lang w:bidi="ar"/>
              </w:rPr>
              <w:t>第六条 省人民政府对产生较好经济效益或者社会效益的优秀专利项目和获得国家奖励的专利项目的单位以及发明人、设计人给予奖励。县级以上人民政府对在专利工作中做出突出贡献的单位和个人给予奖励。</w:t>
            </w:r>
          </w:p>
          <w:p w14:paraId="31D1A6AA">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color w:val="auto"/>
                <w:kern w:val="0"/>
                <w:sz w:val="24"/>
                <w:highlight w:val="none"/>
                <w:shd w:val="clear" w:color="auto" w:fill="FFFFFF"/>
                <w:lang w:eastAsia="zh-CN" w:bidi="ar"/>
              </w:rPr>
              <w:t>《陕西省专利奖励办法》（陕知发〔2025〕10 号）第三条</w:t>
            </w:r>
            <w:r>
              <w:rPr>
                <w:rFonts w:hint="eastAsia" w:ascii="仿宋_GB2312" w:hAnsi="仿宋_GB2312" w:eastAsia="仿宋_GB2312" w:cs="仿宋_GB2312"/>
                <w:color w:val="auto"/>
                <w:kern w:val="0"/>
                <w:sz w:val="24"/>
                <w:highlight w:val="none"/>
                <w:shd w:val="clear" w:color="auto" w:fill="FFFFFF"/>
                <w:lang w:val="en-US" w:eastAsia="zh-CN" w:bidi="ar"/>
              </w:rPr>
              <w:t xml:space="preserve"> </w:t>
            </w:r>
            <w:r>
              <w:rPr>
                <w:rFonts w:hint="eastAsia" w:ascii="仿宋_GB2312" w:hAnsi="仿宋_GB2312" w:eastAsia="仿宋_GB2312" w:cs="仿宋_GB2312"/>
                <w:color w:val="auto"/>
                <w:kern w:val="0"/>
                <w:sz w:val="24"/>
                <w:highlight w:val="none"/>
                <w:shd w:val="clear" w:color="auto" w:fill="FFFFFF"/>
                <w:lang w:eastAsia="zh-CN" w:bidi="ar"/>
              </w:rPr>
              <w:t>陕西省专利奖是陕西省知识产权局组织和管理的省级部门奖。第十五条  专利奖励资金从省知识产权专项资金中列支。</w:t>
            </w:r>
          </w:p>
        </w:tc>
        <w:tc>
          <w:tcPr>
            <w:tcW w:w="1485" w:type="dxa"/>
            <w:noWrap w:val="0"/>
            <w:vAlign w:val="center"/>
          </w:tcPr>
          <w:p w14:paraId="4F7CA5F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sz w:val="24"/>
                <w:szCs w:val="32"/>
                <w:vertAlign w:val="baseline"/>
                <w:lang w:val="en-US" w:eastAsia="zh-CN"/>
              </w:rPr>
              <w:t>知识产权科</w:t>
            </w:r>
          </w:p>
        </w:tc>
        <w:tc>
          <w:tcPr>
            <w:tcW w:w="1179" w:type="dxa"/>
            <w:noWrap w:val="0"/>
            <w:vAlign w:val="center"/>
          </w:tcPr>
          <w:p w14:paraId="26D9667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2"/>
                <w:sz w:val="24"/>
                <w:szCs w:val="32"/>
                <w:vertAlign w:val="baseline"/>
                <w:lang w:val="en-US" w:eastAsia="zh-CN" w:bidi="ar-SA"/>
              </w:rPr>
            </w:pPr>
            <w:r>
              <w:rPr>
                <w:rFonts w:hint="eastAsia" w:ascii="仿宋_GB2312" w:hAnsi="仿宋_GB2312" w:eastAsia="仿宋_GB2312" w:cs="仿宋_GB2312"/>
                <w:kern w:val="2"/>
                <w:sz w:val="24"/>
                <w:szCs w:val="32"/>
                <w:vertAlign w:val="baseline"/>
                <w:lang w:val="en-US" w:eastAsia="zh-CN" w:bidi="ar-SA"/>
              </w:rPr>
              <w:t>刘  洋</w:t>
            </w:r>
          </w:p>
          <w:p w14:paraId="00E7C5F7">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2"/>
                <w:sz w:val="24"/>
                <w:szCs w:val="32"/>
                <w:vertAlign w:val="baseline"/>
                <w:lang w:val="en-US" w:eastAsia="zh-CN" w:bidi="ar-SA"/>
              </w:rPr>
            </w:pPr>
            <w:r>
              <w:rPr>
                <w:rFonts w:hint="eastAsia" w:ascii="仿宋_GB2312" w:hAnsi="仿宋_GB2312" w:eastAsia="仿宋_GB2312" w:cs="仿宋_GB2312"/>
                <w:kern w:val="2"/>
                <w:sz w:val="24"/>
                <w:szCs w:val="32"/>
                <w:vertAlign w:val="baseline"/>
                <w:lang w:val="en-US" w:eastAsia="zh-CN" w:bidi="ar-SA"/>
              </w:rPr>
              <w:t>汪  璇</w:t>
            </w:r>
          </w:p>
          <w:p w14:paraId="1556C06E">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2"/>
                <w:sz w:val="24"/>
                <w:szCs w:val="32"/>
                <w:vertAlign w:val="baseline"/>
                <w:lang w:val="en-US" w:eastAsia="zh-CN" w:bidi="ar-SA"/>
              </w:rPr>
              <w:t>王  垚</w:t>
            </w:r>
          </w:p>
        </w:tc>
      </w:tr>
      <w:tr w14:paraId="712C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1" w:hRule="exact"/>
        </w:trPr>
        <w:tc>
          <w:tcPr>
            <w:tcW w:w="996" w:type="dxa"/>
            <w:noWrap w:val="0"/>
            <w:vAlign w:val="center"/>
          </w:tcPr>
          <w:p w14:paraId="1A7FA85D">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13</w:t>
            </w:r>
          </w:p>
        </w:tc>
        <w:tc>
          <w:tcPr>
            <w:tcW w:w="1716" w:type="dxa"/>
            <w:noWrap w:val="0"/>
            <w:vAlign w:val="center"/>
          </w:tcPr>
          <w:p w14:paraId="0262B9F6">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sz w:val="24"/>
                <w:szCs w:val="32"/>
                <w:vertAlign w:val="baseline"/>
                <w:lang w:val="en-US" w:eastAsia="zh-CN"/>
              </w:rPr>
              <w:t>对商标代理机构和商标代理从业人员代理行为的行政检查</w:t>
            </w:r>
          </w:p>
        </w:tc>
        <w:tc>
          <w:tcPr>
            <w:tcW w:w="1368" w:type="dxa"/>
            <w:noWrap w:val="0"/>
            <w:vAlign w:val="center"/>
          </w:tcPr>
          <w:p w14:paraId="33EC2AF0">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sz w:val="24"/>
                <w:szCs w:val="32"/>
                <w:vertAlign w:val="baseline"/>
                <w:lang w:val="en-US" w:eastAsia="zh-CN"/>
              </w:rPr>
              <w:t>行政检查</w:t>
            </w:r>
          </w:p>
        </w:tc>
        <w:tc>
          <w:tcPr>
            <w:tcW w:w="7980" w:type="dxa"/>
            <w:noWrap w:val="0"/>
            <w:vAlign w:val="center"/>
          </w:tcPr>
          <w:p w14:paraId="15DF26B4">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sz w:val="24"/>
                <w:szCs w:val="32"/>
                <w:vertAlign w:val="baseline"/>
                <w:lang w:val="en-US" w:eastAsia="zh-CN"/>
              </w:rPr>
              <w:t>《商标代理监督管理规定》第二十四条  知识产权管理部门依法对商标代理机构和商标代理从业人员代理行为进行监督检查。</w:t>
            </w:r>
          </w:p>
        </w:tc>
        <w:tc>
          <w:tcPr>
            <w:tcW w:w="1485" w:type="dxa"/>
            <w:noWrap w:val="0"/>
            <w:vAlign w:val="center"/>
          </w:tcPr>
          <w:p w14:paraId="3C13C691">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sz w:val="24"/>
                <w:szCs w:val="32"/>
                <w:vertAlign w:val="baseline"/>
                <w:lang w:val="en-US" w:eastAsia="zh-CN"/>
              </w:rPr>
              <w:t>知识产权科</w:t>
            </w:r>
          </w:p>
        </w:tc>
        <w:tc>
          <w:tcPr>
            <w:tcW w:w="1179" w:type="dxa"/>
            <w:noWrap w:val="0"/>
            <w:vAlign w:val="center"/>
          </w:tcPr>
          <w:p w14:paraId="65CBFE2E">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2"/>
                <w:sz w:val="24"/>
                <w:szCs w:val="32"/>
                <w:vertAlign w:val="baseline"/>
                <w:lang w:val="en-US" w:eastAsia="zh-CN" w:bidi="ar-SA"/>
              </w:rPr>
            </w:pPr>
            <w:r>
              <w:rPr>
                <w:rFonts w:hint="eastAsia" w:ascii="仿宋_GB2312" w:hAnsi="仿宋_GB2312" w:eastAsia="仿宋_GB2312" w:cs="仿宋_GB2312"/>
                <w:kern w:val="2"/>
                <w:sz w:val="24"/>
                <w:szCs w:val="32"/>
                <w:vertAlign w:val="baseline"/>
                <w:lang w:val="en-US" w:eastAsia="zh-CN" w:bidi="ar-SA"/>
              </w:rPr>
              <w:t>刘  洋</w:t>
            </w:r>
          </w:p>
          <w:p w14:paraId="039DADFC">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2"/>
                <w:sz w:val="24"/>
                <w:szCs w:val="32"/>
                <w:vertAlign w:val="baseline"/>
                <w:lang w:val="en-US" w:eastAsia="zh-CN" w:bidi="ar-SA"/>
              </w:rPr>
            </w:pPr>
            <w:r>
              <w:rPr>
                <w:rFonts w:hint="eastAsia" w:ascii="仿宋_GB2312" w:hAnsi="仿宋_GB2312" w:eastAsia="仿宋_GB2312" w:cs="仿宋_GB2312"/>
                <w:kern w:val="2"/>
                <w:sz w:val="24"/>
                <w:szCs w:val="32"/>
                <w:vertAlign w:val="baseline"/>
                <w:lang w:val="en-US" w:eastAsia="zh-CN" w:bidi="ar-SA"/>
              </w:rPr>
              <w:t>汪  璇</w:t>
            </w:r>
          </w:p>
          <w:p w14:paraId="332A1CFE">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kern w:val="2"/>
                <w:sz w:val="24"/>
                <w:szCs w:val="32"/>
                <w:vertAlign w:val="baseline"/>
                <w:lang w:val="en-US" w:eastAsia="zh-CN" w:bidi="ar-SA"/>
              </w:rPr>
              <w:t>王  垚</w:t>
            </w:r>
          </w:p>
        </w:tc>
      </w:tr>
      <w:tr w14:paraId="06B0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exact"/>
        </w:trPr>
        <w:tc>
          <w:tcPr>
            <w:tcW w:w="996" w:type="dxa"/>
            <w:noWrap w:val="0"/>
            <w:vAlign w:val="center"/>
          </w:tcPr>
          <w:p w14:paraId="71791236">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14</w:t>
            </w:r>
          </w:p>
        </w:tc>
        <w:tc>
          <w:tcPr>
            <w:tcW w:w="1716" w:type="dxa"/>
            <w:noWrap w:val="0"/>
            <w:vAlign w:val="center"/>
          </w:tcPr>
          <w:p w14:paraId="7F9C91EA">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eastAsia="zh-CN" w:bidi="ar"/>
              </w:rPr>
              <w:t>对食品生产的监督检查</w:t>
            </w:r>
          </w:p>
        </w:tc>
        <w:tc>
          <w:tcPr>
            <w:tcW w:w="1368" w:type="dxa"/>
            <w:noWrap w:val="0"/>
            <w:vAlign w:val="center"/>
          </w:tcPr>
          <w:p w14:paraId="585CE178">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eastAsia="zh-CN" w:bidi="ar"/>
              </w:rPr>
              <w:t>行政检查</w:t>
            </w:r>
          </w:p>
        </w:tc>
        <w:tc>
          <w:tcPr>
            <w:tcW w:w="7980" w:type="dxa"/>
            <w:noWrap w:val="0"/>
            <w:vAlign w:val="center"/>
          </w:tcPr>
          <w:p w14:paraId="0B499DA5">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eastAsia="zh-CN" w:bidi="ar"/>
              </w:rPr>
              <w:t>《食品安全法》第六条第一款</w:t>
            </w:r>
            <w:r>
              <w:rPr>
                <w:rFonts w:hint="eastAsia" w:ascii="仿宋_GB2312" w:hAnsi="仿宋_GB2312" w:eastAsia="仿宋_GB2312" w:cs="仿宋_GB2312"/>
                <w:color w:val="auto"/>
                <w:kern w:val="0"/>
                <w:sz w:val="24"/>
                <w:highlight w:val="none"/>
                <w:shd w:val="clear" w:color="auto" w:fill="FFFFFF"/>
                <w:lang w:val="en-US" w:eastAsia="zh-CN" w:bidi="ar"/>
              </w:rPr>
              <w:t xml:space="preserve"> </w:t>
            </w:r>
            <w:r>
              <w:rPr>
                <w:rFonts w:hint="eastAsia" w:ascii="仿宋_GB2312" w:hAnsi="仿宋_GB2312" w:eastAsia="仿宋_GB2312" w:cs="仿宋_GB2312"/>
                <w:color w:val="auto"/>
                <w:kern w:val="0"/>
                <w:sz w:val="24"/>
                <w:highlight w:val="none"/>
                <w:shd w:val="clear" w:color="auto" w:fill="FFFFFF"/>
                <w:lang w:eastAsia="zh-CN" w:bidi="ar"/>
              </w:rPr>
              <w:t>县级以上地方人民政府对本行政区域的食品安全监督管理工作负责，统一领导、组织、协调本行政区域的食品安全监督管理工作以及食品安全突发事件应对工作，建立健全食品安全全程监督管理工作机制和信息共享机制。</w:t>
            </w:r>
          </w:p>
        </w:tc>
        <w:tc>
          <w:tcPr>
            <w:tcW w:w="1485" w:type="dxa"/>
            <w:noWrap w:val="0"/>
            <w:vAlign w:val="center"/>
          </w:tcPr>
          <w:p w14:paraId="0B85A46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食品生产和安全协调科</w:t>
            </w:r>
          </w:p>
        </w:tc>
        <w:tc>
          <w:tcPr>
            <w:tcW w:w="1179" w:type="dxa"/>
            <w:noWrap w:val="0"/>
            <w:vAlign w:val="center"/>
          </w:tcPr>
          <w:p w14:paraId="258952D8">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刘军亮</w:t>
            </w:r>
          </w:p>
          <w:p w14:paraId="6177BFD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陶  煜</w:t>
            </w:r>
          </w:p>
          <w:p w14:paraId="3B81D89B">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侯建东</w:t>
            </w:r>
          </w:p>
        </w:tc>
      </w:tr>
      <w:tr w14:paraId="7885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exact"/>
        </w:trPr>
        <w:tc>
          <w:tcPr>
            <w:tcW w:w="996" w:type="dxa"/>
            <w:noWrap w:val="0"/>
            <w:vAlign w:val="center"/>
          </w:tcPr>
          <w:p w14:paraId="299E3001">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15</w:t>
            </w:r>
          </w:p>
        </w:tc>
        <w:tc>
          <w:tcPr>
            <w:tcW w:w="1716" w:type="dxa"/>
            <w:noWrap w:val="0"/>
            <w:vAlign w:val="center"/>
          </w:tcPr>
          <w:p w14:paraId="0099F106">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eastAsia="zh-CN" w:bidi="ar"/>
              </w:rPr>
              <w:t>食品安全抽样检验</w:t>
            </w:r>
          </w:p>
        </w:tc>
        <w:tc>
          <w:tcPr>
            <w:tcW w:w="1368" w:type="dxa"/>
            <w:noWrap w:val="0"/>
            <w:vAlign w:val="center"/>
          </w:tcPr>
          <w:p w14:paraId="3376BFE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eastAsia="zh-CN" w:bidi="ar"/>
              </w:rPr>
              <w:t>行政检查</w:t>
            </w:r>
          </w:p>
        </w:tc>
        <w:tc>
          <w:tcPr>
            <w:tcW w:w="7980" w:type="dxa"/>
            <w:noWrap w:val="0"/>
            <w:vAlign w:val="center"/>
          </w:tcPr>
          <w:p w14:paraId="71E63DAC">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eastAsia="zh-CN" w:bidi="ar"/>
              </w:rPr>
              <w:t>《食品安全法》第八十七条</w:t>
            </w:r>
            <w:r>
              <w:rPr>
                <w:rFonts w:hint="eastAsia" w:ascii="仿宋_GB2312" w:hAnsi="仿宋_GB2312" w:eastAsia="仿宋_GB2312" w:cs="仿宋_GB2312"/>
                <w:color w:val="auto"/>
                <w:kern w:val="0"/>
                <w:sz w:val="24"/>
                <w:highlight w:val="none"/>
                <w:shd w:val="clear" w:color="auto" w:fill="FFFFFF"/>
                <w:lang w:val="en-US" w:eastAsia="zh-CN" w:bidi="ar"/>
              </w:rPr>
              <w:t xml:space="preserve"> </w:t>
            </w:r>
            <w:r>
              <w:rPr>
                <w:rFonts w:hint="eastAsia" w:ascii="仿宋_GB2312" w:hAnsi="仿宋_GB2312" w:eastAsia="仿宋_GB2312" w:cs="仿宋_GB2312"/>
                <w:color w:val="auto"/>
                <w:kern w:val="0"/>
                <w:sz w:val="24"/>
                <w:highlight w:val="none"/>
                <w:shd w:val="clear" w:color="auto" w:fill="FFFFFF"/>
                <w:lang w:eastAsia="zh-CN" w:bidi="ar"/>
              </w:rPr>
              <w:t>县级以上人民政府食品安全监督管理部门应当对食品进行定期或者不定期的抽样检验，并依据有关规定公布检验结果，不得免检。进行抽样检验，应当购买抽取的样品，委托符合本法规定的食品检验机构进行检验，并支付相关费用；不得向食品生产经营者收取检验费和其他费用。</w:t>
            </w:r>
          </w:p>
        </w:tc>
        <w:tc>
          <w:tcPr>
            <w:tcW w:w="1485" w:type="dxa"/>
            <w:noWrap w:val="0"/>
            <w:vAlign w:val="center"/>
          </w:tcPr>
          <w:p w14:paraId="30ED313E">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食品生产和安全协调科</w:t>
            </w:r>
          </w:p>
        </w:tc>
        <w:tc>
          <w:tcPr>
            <w:tcW w:w="1179" w:type="dxa"/>
            <w:noWrap w:val="0"/>
            <w:vAlign w:val="center"/>
          </w:tcPr>
          <w:p w14:paraId="5AE031F5">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刘军亮</w:t>
            </w:r>
          </w:p>
          <w:p w14:paraId="72CFD0B7">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陶  煜</w:t>
            </w:r>
          </w:p>
          <w:p w14:paraId="6D542C9E">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侯建东</w:t>
            </w:r>
          </w:p>
        </w:tc>
      </w:tr>
      <w:tr w14:paraId="4B6E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exact"/>
        </w:trPr>
        <w:tc>
          <w:tcPr>
            <w:tcW w:w="996" w:type="dxa"/>
            <w:noWrap w:val="0"/>
            <w:vAlign w:val="center"/>
          </w:tcPr>
          <w:p w14:paraId="474B15F8">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16</w:t>
            </w:r>
          </w:p>
        </w:tc>
        <w:tc>
          <w:tcPr>
            <w:tcW w:w="1716" w:type="dxa"/>
            <w:noWrap w:val="0"/>
            <w:vAlign w:val="center"/>
          </w:tcPr>
          <w:p w14:paraId="73ACB578">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对资质认定获证检验检测机构的监督检查</w:t>
            </w:r>
          </w:p>
        </w:tc>
        <w:tc>
          <w:tcPr>
            <w:tcW w:w="1368" w:type="dxa"/>
            <w:noWrap w:val="0"/>
            <w:vAlign w:val="center"/>
          </w:tcPr>
          <w:p w14:paraId="471DE91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行政检查</w:t>
            </w:r>
          </w:p>
        </w:tc>
        <w:tc>
          <w:tcPr>
            <w:tcW w:w="7980" w:type="dxa"/>
            <w:noWrap w:val="0"/>
            <w:vAlign w:val="center"/>
          </w:tcPr>
          <w:p w14:paraId="679FFA54">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《检验检测机构监督管理办法》第四条 省级市场监督管理部门负责本行政区域内检验检测机构监督管理工作。地（市）、县级市场监督管理部门负责本行政区域内检验检测机构监督检查工作。</w:t>
            </w:r>
          </w:p>
        </w:tc>
        <w:tc>
          <w:tcPr>
            <w:tcW w:w="1485" w:type="dxa"/>
            <w:noWrap w:val="0"/>
            <w:vAlign w:val="center"/>
          </w:tcPr>
          <w:p w14:paraId="22D41B62">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质量发展科</w:t>
            </w:r>
          </w:p>
        </w:tc>
        <w:tc>
          <w:tcPr>
            <w:tcW w:w="1179" w:type="dxa"/>
            <w:noWrap w:val="0"/>
            <w:vAlign w:val="center"/>
          </w:tcPr>
          <w:p w14:paraId="379AF4E7">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kern w:val="0"/>
                <w:sz w:val="24"/>
                <w:szCs w:val="24"/>
                <w:highlight w:val="none"/>
                <w:lang w:val="en-US" w:eastAsia="zh-CN"/>
              </w:rPr>
              <w:t>雷小宁</w:t>
            </w:r>
            <w:r>
              <w:rPr>
                <w:rFonts w:ascii="仿宋_GB2312" w:eastAsia="仿宋_GB2312"/>
                <w:sz w:val="28"/>
                <w:szCs w:val="28"/>
              </w:rPr>
              <w:t xml:space="preserve"> </w:t>
            </w:r>
            <w:r>
              <w:rPr>
                <w:rFonts w:hint="eastAsia" w:ascii="仿宋_GB2312" w:hAnsi="仿宋_GB2312" w:eastAsia="仿宋_GB2312" w:cs="仿宋_GB2312"/>
                <w:kern w:val="0"/>
                <w:sz w:val="24"/>
                <w:szCs w:val="24"/>
                <w:highlight w:val="none"/>
                <w:lang w:val="en-US" w:eastAsia="zh-CN"/>
              </w:rPr>
              <w:t>温耀文</w:t>
            </w:r>
          </w:p>
        </w:tc>
      </w:tr>
      <w:tr w14:paraId="7386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exact"/>
        </w:trPr>
        <w:tc>
          <w:tcPr>
            <w:tcW w:w="996" w:type="dxa"/>
            <w:noWrap w:val="0"/>
            <w:vAlign w:val="center"/>
          </w:tcPr>
          <w:p w14:paraId="363F1A00">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17</w:t>
            </w:r>
          </w:p>
        </w:tc>
        <w:tc>
          <w:tcPr>
            <w:tcW w:w="1716" w:type="dxa"/>
            <w:noWrap w:val="0"/>
            <w:vAlign w:val="center"/>
          </w:tcPr>
          <w:p w14:paraId="63BFE3D6">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对认证活动和认证结果监督检查</w:t>
            </w:r>
          </w:p>
        </w:tc>
        <w:tc>
          <w:tcPr>
            <w:tcW w:w="1368" w:type="dxa"/>
            <w:noWrap w:val="0"/>
            <w:vAlign w:val="center"/>
          </w:tcPr>
          <w:p w14:paraId="53E738D3">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行政检查</w:t>
            </w:r>
          </w:p>
        </w:tc>
        <w:tc>
          <w:tcPr>
            <w:tcW w:w="7980" w:type="dxa"/>
            <w:noWrap w:val="0"/>
            <w:vAlign w:val="center"/>
          </w:tcPr>
          <w:p w14:paraId="60D1ADFF">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 xml:space="preserve">《强制性产品认证管理规定》第三十七条 县级以上地方市场监督管理部门负责对所辖区域内强制性产品认证活动实施监督检查，对违法行为进行查处。 </w:t>
            </w:r>
          </w:p>
          <w:p w14:paraId="2E213DE3">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《有机产品认证管理办法》第三十七条 县级以上地方市场监督管理部门应当依法对所辖区域的有机产品认证活动进行监督检查，查处获证有机产品生产、加工、销售活动中的违法行为。</w:t>
            </w:r>
          </w:p>
          <w:p w14:paraId="6882FE2E">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《认证机构管理办法》第四条第二款 县级以上地方认证监督管理部门依照本办法的规定，负责所辖区域内认证机构从事认证活动的监督管理。</w:t>
            </w:r>
          </w:p>
        </w:tc>
        <w:tc>
          <w:tcPr>
            <w:tcW w:w="1485" w:type="dxa"/>
            <w:noWrap w:val="0"/>
            <w:vAlign w:val="center"/>
          </w:tcPr>
          <w:p w14:paraId="18BF5ACB">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质量发展科</w:t>
            </w:r>
          </w:p>
        </w:tc>
        <w:tc>
          <w:tcPr>
            <w:tcW w:w="1179" w:type="dxa"/>
            <w:noWrap w:val="0"/>
            <w:vAlign w:val="center"/>
          </w:tcPr>
          <w:p w14:paraId="48BE7FE2">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kern w:val="0"/>
                <w:sz w:val="24"/>
                <w:szCs w:val="24"/>
                <w:highlight w:val="none"/>
                <w:lang w:val="en-US" w:eastAsia="zh-CN"/>
              </w:rPr>
              <w:t>雷小宁</w:t>
            </w:r>
            <w:r>
              <w:rPr>
                <w:rFonts w:ascii="仿宋_GB2312" w:eastAsia="仿宋_GB2312"/>
                <w:sz w:val="28"/>
                <w:szCs w:val="28"/>
              </w:rPr>
              <w:t xml:space="preserve"> </w:t>
            </w:r>
            <w:r>
              <w:rPr>
                <w:rFonts w:hint="eastAsia" w:ascii="仿宋_GB2312" w:hAnsi="仿宋_GB2312" w:eastAsia="仿宋_GB2312" w:cs="仿宋_GB2312"/>
                <w:kern w:val="0"/>
                <w:sz w:val="24"/>
                <w:szCs w:val="24"/>
                <w:highlight w:val="none"/>
                <w:lang w:val="en-US" w:eastAsia="zh-CN"/>
              </w:rPr>
              <w:t>温耀文</w:t>
            </w:r>
          </w:p>
        </w:tc>
      </w:tr>
      <w:tr w14:paraId="0A1F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exact"/>
        </w:trPr>
        <w:tc>
          <w:tcPr>
            <w:tcW w:w="996" w:type="dxa"/>
            <w:noWrap w:val="0"/>
            <w:vAlign w:val="center"/>
          </w:tcPr>
          <w:p w14:paraId="56EB5F4D">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18</w:t>
            </w:r>
          </w:p>
        </w:tc>
        <w:tc>
          <w:tcPr>
            <w:tcW w:w="1716" w:type="dxa"/>
            <w:noWrap w:val="0"/>
            <w:vAlign w:val="center"/>
          </w:tcPr>
          <w:p w14:paraId="7FBB0F8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对定量包装商品净含量的行政检查</w:t>
            </w:r>
          </w:p>
        </w:tc>
        <w:tc>
          <w:tcPr>
            <w:tcW w:w="1368" w:type="dxa"/>
            <w:noWrap w:val="0"/>
            <w:vAlign w:val="top"/>
          </w:tcPr>
          <w:p w14:paraId="3AF4FD5C">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09B2F29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行政检查</w:t>
            </w:r>
          </w:p>
        </w:tc>
        <w:tc>
          <w:tcPr>
            <w:tcW w:w="7980" w:type="dxa"/>
            <w:noWrap w:val="0"/>
            <w:vAlign w:val="center"/>
          </w:tcPr>
          <w:p w14:paraId="01EF5E91">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《定量包装商品计量监督管理办法》第三条 县级以上地方质量技术监督部门对本行政区域内定量包装商品的计量工作实施监督管理。</w:t>
            </w:r>
          </w:p>
        </w:tc>
        <w:tc>
          <w:tcPr>
            <w:tcW w:w="1485" w:type="dxa"/>
            <w:noWrap w:val="0"/>
            <w:vAlign w:val="top"/>
          </w:tcPr>
          <w:p w14:paraId="4CD38795">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33BA94DD">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质量发展科</w:t>
            </w:r>
          </w:p>
        </w:tc>
        <w:tc>
          <w:tcPr>
            <w:tcW w:w="1179" w:type="dxa"/>
            <w:noWrap w:val="0"/>
            <w:vAlign w:val="center"/>
          </w:tcPr>
          <w:p w14:paraId="2F90318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kern w:val="0"/>
                <w:sz w:val="24"/>
                <w:szCs w:val="24"/>
                <w:highlight w:val="none"/>
                <w:lang w:val="en-US" w:eastAsia="zh-CN"/>
              </w:rPr>
              <w:t>雷小宁</w:t>
            </w:r>
            <w:r>
              <w:rPr>
                <w:rFonts w:ascii="仿宋_GB2312" w:eastAsia="仿宋_GB2312"/>
                <w:sz w:val="28"/>
                <w:szCs w:val="28"/>
              </w:rPr>
              <w:t xml:space="preserve"> </w:t>
            </w:r>
            <w:r>
              <w:rPr>
                <w:rFonts w:hint="eastAsia" w:ascii="仿宋_GB2312" w:hAnsi="仿宋_GB2312" w:eastAsia="仿宋_GB2312" w:cs="仿宋_GB2312"/>
                <w:kern w:val="0"/>
                <w:sz w:val="24"/>
                <w:szCs w:val="24"/>
                <w:highlight w:val="none"/>
                <w:lang w:val="en-US" w:eastAsia="zh-CN"/>
              </w:rPr>
              <w:t>温耀文</w:t>
            </w:r>
          </w:p>
        </w:tc>
      </w:tr>
      <w:tr w14:paraId="3AA7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exact"/>
        </w:trPr>
        <w:tc>
          <w:tcPr>
            <w:tcW w:w="996" w:type="dxa"/>
            <w:noWrap w:val="0"/>
            <w:vAlign w:val="center"/>
          </w:tcPr>
          <w:p w14:paraId="0116244E">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19</w:t>
            </w:r>
          </w:p>
        </w:tc>
        <w:tc>
          <w:tcPr>
            <w:tcW w:w="1716" w:type="dxa"/>
            <w:noWrap w:val="0"/>
            <w:vAlign w:val="center"/>
          </w:tcPr>
          <w:p w14:paraId="5C055494">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3C11159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对能效标识的使用的行政检查</w:t>
            </w:r>
          </w:p>
        </w:tc>
        <w:tc>
          <w:tcPr>
            <w:tcW w:w="1368" w:type="dxa"/>
            <w:noWrap w:val="0"/>
            <w:vAlign w:val="top"/>
          </w:tcPr>
          <w:p w14:paraId="33DAD955">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2B389CA2">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200B766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行政检查</w:t>
            </w:r>
          </w:p>
        </w:tc>
        <w:tc>
          <w:tcPr>
            <w:tcW w:w="7980" w:type="dxa"/>
            <w:noWrap w:val="0"/>
            <w:vAlign w:val="center"/>
          </w:tcPr>
          <w:p w14:paraId="537F2836">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《能源效率标识管理办法》第十八条 地方质检部门负责对所辖区域内能效标识的使用实施监督检查、专项检查和验证管理，发现有违反本办法规定行为的，通报同级节能主管部门，并通知授权机构。</w:t>
            </w:r>
          </w:p>
        </w:tc>
        <w:tc>
          <w:tcPr>
            <w:tcW w:w="1485" w:type="dxa"/>
            <w:noWrap w:val="0"/>
            <w:vAlign w:val="center"/>
          </w:tcPr>
          <w:p w14:paraId="1C64F3D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730D453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质量发展科</w:t>
            </w:r>
          </w:p>
        </w:tc>
        <w:tc>
          <w:tcPr>
            <w:tcW w:w="1179" w:type="dxa"/>
            <w:noWrap w:val="0"/>
            <w:vAlign w:val="center"/>
          </w:tcPr>
          <w:p w14:paraId="36D2E392">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5570F6AD">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kern w:val="0"/>
                <w:sz w:val="24"/>
                <w:szCs w:val="24"/>
                <w:highlight w:val="none"/>
                <w:lang w:val="en-US" w:eastAsia="zh-CN"/>
              </w:rPr>
              <w:t>雷小宁</w:t>
            </w:r>
            <w:r>
              <w:rPr>
                <w:rFonts w:ascii="仿宋_GB2312" w:eastAsia="仿宋_GB2312"/>
                <w:sz w:val="28"/>
                <w:szCs w:val="28"/>
              </w:rPr>
              <w:t xml:space="preserve"> </w:t>
            </w:r>
            <w:r>
              <w:rPr>
                <w:rFonts w:hint="eastAsia" w:ascii="仿宋_GB2312" w:hAnsi="仿宋_GB2312" w:eastAsia="仿宋_GB2312" w:cs="仿宋_GB2312"/>
                <w:kern w:val="0"/>
                <w:sz w:val="24"/>
                <w:szCs w:val="24"/>
                <w:highlight w:val="none"/>
                <w:lang w:val="en-US" w:eastAsia="zh-CN"/>
              </w:rPr>
              <w:t>温耀文</w:t>
            </w:r>
          </w:p>
        </w:tc>
      </w:tr>
      <w:tr w14:paraId="527A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exact"/>
        </w:trPr>
        <w:tc>
          <w:tcPr>
            <w:tcW w:w="996" w:type="dxa"/>
            <w:noWrap w:val="0"/>
            <w:vAlign w:val="center"/>
          </w:tcPr>
          <w:p w14:paraId="03225B5E">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20</w:t>
            </w:r>
          </w:p>
        </w:tc>
        <w:tc>
          <w:tcPr>
            <w:tcW w:w="1716" w:type="dxa"/>
            <w:noWrap w:val="0"/>
            <w:vAlign w:val="top"/>
          </w:tcPr>
          <w:p w14:paraId="490CD6FA">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772929EC">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对能源计量的行政检查</w:t>
            </w:r>
          </w:p>
        </w:tc>
        <w:tc>
          <w:tcPr>
            <w:tcW w:w="1368" w:type="dxa"/>
            <w:noWrap w:val="0"/>
            <w:vAlign w:val="top"/>
          </w:tcPr>
          <w:p w14:paraId="771AC36B">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1C22CDF5">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7A8F5892">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行政检查</w:t>
            </w:r>
          </w:p>
        </w:tc>
        <w:tc>
          <w:tcPr>
            <w:tcW w:w="7980" w:type="dxa"/>
            <w:noWrap w:val="0"/>
            <w:vAlign w:val="top"/>
          </w:tcPr>
          <w:p w14:paraId="41068482">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《能源计量监督管理办法》第十六条 市场监督管理部门应当对用能单位能源计量工作情况、列入国家能源效率标识管理产品目录的用能产品能源效率实施监督检查。任何单位和个人不得拒绝、阻碍依法开展的能源计量监督检查。</w:t>
            </w:r>
          </w:p>
        </w:tc>
        <w:tc>
          <w:tcPr>
            <w:tcW w:w="1485" w:type="dxa"/>
            <w:noWrap w:val="0"/>
            <w:vAlign w:val="top"/>
          </w:tcPr>
          <w:p w14:paraId="725129E0">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200E4548">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720710FE">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质量发展科</w:t>
            </w:r>
          </w:p>
        </w:tc>
        <w:tc>
          <w:tcPr>
            <w:tcW w:w="1179" w:type="dxa"/>
            <w:noWrap w:val="0"/>
            <w:vAlign w:val="top"/>
          </w:tcPr>
          <w:p w14:paraId="213B661F">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3286364F">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56C58081">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kern w:val="0"/>
                <w:sz w:val="24"/>
                <w:szCs w:val="24"/>
                <w:highlight w:val="none"/>
                <w:lang w:val="en-US" w:eastAsia="zh-CN"/>
              </w:rPr>
              <w:t>雷小宁</w:t>
            </w:r>
            <w:r>
              <w:rPr>
                <w:rFonts w:ascii="仿宋_GB2312" w:eastAsia="仿宋_GB2312"/>
                <w:sz w:val="28"/>
                <w:szCs w:val="28"/>
              </w:rPr>
              <w:t xml:space="preserve"> </w:t>
            </w:r>
            <w:r>
              <w:rPr>
                <w:rFonts w:hint="eastAsia" w:ascii="仿宋_GB2312" w:hAnsi="仿宋_GB2312" w:eastAsia="仿宋_GB2312" w:cs="仿宋_GB2312"/>
                <w:kern w:val="0"/>
                <w:sz w:val="24"/>
                <w:szCs w:val="24"/>
                <w:highlight w:val="none"/>
                <w:lang w:val="en-US" w:eastAsia="zh-CN"/>
              </w:rPr>
              <w:t>温耀文</w:t>
            </w:r>
          </w:p>
        </w:tc>
      </w:tr>
      <w:tr w14:paraId="7F87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5" w:hRule="exact"/>
        </w:trPr>
        <w:tc>
          <w:tcPr>
            <w:tcW w:w="996" w:type="dxa"/>
            <w:noWrap w:val="0"/>
            <w:vAlign w:val="center"/>
          </w:tcPr>
          <w:p w14:paraId="7D5EC254">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21</w:t>
            </w:r>
          </w:p>
        </w:tc>
        <w:tc>
          <w:tcPr>
            <w:tcW w:w="1716" w:type="dxa"/>
            <w:noWrap w:val="0"/>
            <w:vAlign w:val="top"/>
          </w:tcPr>
          <w:p w14:paraId="460DDE3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对列入《中华人民共和国实施水效标识的产品目录》的产品依法进行水效标识的行政检查</w:t>
            </w:r>
          </w:p>
        </w:tc>
        <w:tc>
          <w:tcPr>
            <w:tcW w:w="1368" w:type="dxa"/>
            <w:noWrap w:val="0"/>
            <w:vAlign w:val="top"/>
          </w:tcPr>
          <w:p w14:paraId="25913CF5">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443C9EFD">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7337F376">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069BA8B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行政检查</w:t>
            </w:r>
          </w:p>
        </w:tc>
        <w:tc>
          <w:tcPr>
            <w:tcW w:w="7980" w:type="dxa"/>
            <w:noWrap w:val="0"/>
            <w:vAlign w:val="top"/>
          </w:tcPr>
          <w:p w14:paraId="0D286563">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《水效标识管理办法》第五条 地方各级发展改革部门、水行政主管部门、质量技术监督部门和出入境检验检疫机构(以下简称地方质检部门)，在各自的职责范围内对水效标识制度的实施开展监督检查。第十七条 质检部门对列入《目录》的产品依法进行水效标识监督检查、专项检查和验证管理。地方质检部门将检查结果通报同级发展改革部门和水行政主管部门，并通知授权机构。</w:t>
            </w:r>
          </w:p>
        </w:tc>
        <w:tc>
          <w:tcPr>
            <w:tcW w:w="1485" w:type="dxa"/>
            <w:noWrap w:val="0"/>
            <w:vAlign w:val="top"/>
          </w:tcPr>
          <w:p w14:paraId="765BB1F6">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2AEE0407">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1EC96BC8">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2831D2D0">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质量发展科</w:t>
            </w:r>
          </w:p>
        </w:tc>
        <w:tc>
          <w:tcPr>
            <w:tcW w:w="1179" w:type="dxa"/>
            <w:noWrap w:val="0"/>
            <w:vAlign w:val="top"/>
          </w:tcPr>
          <w:p w14:paraId="48705AB5">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70093897">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4"/>
                <w:highlight w:val="none"/>
                <w:shd w:val="clear" w:color="auto" w:fill="FFFFFF"/>
                <w:lang w:val="en-US" w:eastAsia="zh-CN" w:bidi="ar"/>
              </w:rPr>
            </w:pPr>
          </w:p>
          <w:p w14:paraId="09D44C3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kern w:val="0"/>
                <w:sz w:val="24"/>
                <w:szCs w:val="24"/>
                <w:highlight w:val="none"/>
                <w:lang w:val="en-US" w:eastAsia="zh-CN"/>
              </w:rPr>
              <w:t>雷小宁</w:t>
            </w:r>
            <w:r>
              <w:rPr>
                <w:rFonts w:ascii="仿宋_GB2312" w:eastAsia="仿宋_GB2312"/>
                <w:sz w:val="28"/>
                <w:szCs w:val="28"/>
              </w:rPr>
              <w:t xml:space="preserve"> </w:t>
            </w:r>
            <w:r>
              <w:rPr>
                <w:rFonts w:hint="eastAsia" w:ascii="仿宋_GB2312" w:hAnsi="仿宋_GB2312" w:eastAsia="仿宋_GB2312" w:cs="仿宋_GB2312"/>
                <w:kern w:val="0"/>
                <w:sz w:val="24"/>
                <w:szCs w:val="24"/>
                <w:highlight w:val="none"/>
                <w:lang w:val="en-US" w:eastAsia="zh-CN"/>
              </w:rPr>
              <w:t>温耀文</w:t>
            </w:r>
          </w:p>
        </w:tc>
      </w:tr>
      <w:tr w14:paraId="1085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exact"/>
        </w:trPr>
        <w:tc>
          <w:tcPr>
            <w:tcW w:w="996" w:type="dxa"/>
            <w:noWrap w:val="0"/>
            <w:vAlign w:val="center"/>
          </w:tcPr>
          <w:p w14:paraId="0F6EBBE1">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22</w:t>
            </w:r>
          </w:p>
        </w:tc>
        <w:tc>
          <w:tcPr>
            <w:tcW w:w="1716" w:type="dxa"/>
            <w:noWrap w:val="0"/>
            <w:vAlign w:val="center"/>
          </w:tcPr>
          <w:p w14:paraId="4775F97B">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对广告行为的行政检查</w:t>
            </w:r>
          </w:p>
        </w:tc>
        <w:tc>
          <w:tcPr>
            <w:tcW w:w="1368" w:type="dxa"/>
            <w:noWrap w:val="0"/>
            <w:vAlign w:val="center"/>
          </w:tcPr>
          <w:p w14:paraId="0497AE16">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70BE244A">
            <w:pPr>
              <w:jc w:val="left"/>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《中华人民共和国广告法》第六条第二款  县级以上地方市场监督管理部门主管本行政区域的广告监督管理工作，县级以上地方人民政府有关部门在各自的职责范围内负责广告管理相关工作。</w:t>
            </w:r>
          </w:p>
        </w:tc>
        <w:tc>
          <w:tcPr>
            <w:tcW w:w="1485" w:type="dxa"/>
            <w:noWrap w:val="0"/>
            <w:vAlign w:val="center"/>
          </w:tcPr>
          <w:p w14:paraId="3BACA593">
            <w:pPr>
              <w:jc w:val="left"/>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 w:hAnsi="仿宋" w:eastAsia="仿宋" w:cs="仿宋"/>
                <w:sz w:val="24"/>
                <w:szCs w:val="32"/>
                <w:vertAlign w:val="baseline"/>
                <w:lang w:val="en-US" w:eastAsia="zh-CN"/>
              </w:rPr>
              <w:t>综合业务科</w:t>
            </w:r>
          </w:p>
        </w:tc>
        <w:tc>
          <w:tcPr>
            <w:tcW w:w="1179" w:type="dxa"/>
            <w:noWrap w:val="0"/>
            <w:vAlign w:val="center"/>
          </w:tcPr>
          <w:p w14:paraId="5F4A39E5">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黄申彬</w:t>
            </w:r>
          </w:p>
          <w:p w14:paraId="0D1FB9F0">
            <w:pPr>
              <w:jc w:val="center"/>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 w:hAnsi="仿宋" w:eastAsia="仿宋" w:cs="仿宋"/>
                <w:sz w:val="24"/>
                <w:szCs w:val="32"/>
                <w:vertAlign w:val="baseline"/>
                <w:lang w:val="en-US" w:eastAsia="zh-CN"/>
              </w:rPr>
              <w:t>高素红</w:t>
            </w:r>
          </w:p>
        </w:tc>
      </w:tr>
      <w:tr w14:paraId="2537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trPr>
        <w:tc>
          <w:tcPr>
            <w:tcW w:w="996" w:type="dxa"/>
            <w:noWrap w:val="0"/>
            <w:vAlign w:val="center"/>
          </w:tcPr>
          <w:p w14:paraId="20446277">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23</w:t>
            </w:r>
          </w:p>
        </w:tc>
        <w:tc>
          <w:tcPr>
            <w:tcW w:w="1716" w:type="dxa"/>
            <w:noWrap w:val="0"/>
            <w:vAlign w:val="center"/>
          </w:tcPr>
          <w:p w14:paraId="448CB0CD">
            <w:pPr>
              <w:jc w:val="left"/>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对网络交易行为的行政检查</w:t>
            </w:r>
          </w:p>
        </w:tc>
        <w:tc>
          <w:tcPr>
            <w:tcW w:w="1368" w:type="dxa"/>
            <w:noWrap w:val="0"/>
            <w:vAlign w:val="center"/>
          </w:tcPr>
          <w:p w14:paraId="6451A4A2">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0A84A878">
            <w:pPr>
              <w:jc w:val="left"/>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《中华人民共和国电子商务法》第六条　国务院有关部门按照职责分工负责电子商务发展促进、监督管理等工作。县级以上地方各级人民政府可以根据本行政区域的实际情况，确定本行政区域内电子商务的部门职责划分。</w:t>
            </w:r>
          </w:p>
        </w:tc>
        <w:tc>
          <w:tcPr>
            <w:tcW w:w="1485" w:type="dxa"/>
            <w:noWrap w:val="0"/>
            <w:vAlign w:val="center"/>
          </w:tcPr>
          <w:p w14:paraId="26BEB632">
            <w:pPr>
              <w:jc w:val="left"/>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 w:hAnsi="仿宋" w:eastAsia="仿宋" w:cs="仿宋"/>
                <w:sz w:val="24"/>
                <w:szCs w:val="32"/>
                <w:vertAlign w:val="baseline"/>
                <w:lang w:val="en-US" w:eastAsia="zh-CN"/>
              </w:rPr>
              <w:t>综合业务科</w:t>
            </w:r>
          </w:p>
        </w:tc>
        <w:tc>
          <w:tcPr>
            <w:tcW w:w="1179" w:type="dxa"/>
            <w:noWrap w:val="0"/>
            <w:vAlign w:val="center"/>
          </w:tcPr>
          <w:p w14:paraId="5658FA6B">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黄申彬</w:t>
            </w:r>
          </w:p>
          <w:p w14:paraId="294A5E53">
            <w:pPr>
              <w:jc w:val="center"/>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 w:hAnsi="仿宋" w:eastAsia="仿宋" w:cs="仿宋"/>
                <w:sz w:val="24"/>
                <w:szCs w:val="32"/>
                <w:vertAlign w:val="baseline"/>
                <w:lang w:val="en-US" w:eastAsia="zh-CN"/>
              </w:rPr>
              <w:t>高素红</w:t>
            </w:r>
          </w:p>
        </w:tc>
      </w:tr>
      <w:tr w14:paraId="44B0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exact"/>
        </w:trPr>
        <w:tc>
          <w:tcPr>
            <w:tcW w:w="996" w:type="dxa"/>
            <w:noWrap w:val="0"/>
            <w:vAlign w:val="center"/>
          </w:tcPr>
          <w:p w14:paraId="7C21B991">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24</w:t>
            </w:r>
          </w:p>
        </w:tc>
        <w:tc>
          <w:tcPr>
            <w:tcW w:w="1716" w:type="dxa"/>
            <w:noWrap w:val="0"/>
            <w:vAlign w:val="center"/>
          </w:tcPr>
          <w:p w14:paraId="4FCB634C">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对直销行为的行政检查</w:t>
            </w:r>
          </w:p>
        </w:tc>
        <w:tc>
          <w:tcPr>
            <w:tcW w:w="1368" w:type="dxa"/>
            <w:noWrap w:val="0"/>
            <w:vAlign w:val="center"/>
          </w:tcPr>
          <w:p w14:paraId="27D9F6EB">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1B2F27F6">
            <w:pPr>
              <w:jc w:val="left"/>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《直销管理条例》第三十五条第一款 工商行政管理部门负责对直销企业和直销员及其直销活动实施日常的监督管理。工商行政管理部门可以采取下列措施进行现场检查：（一）进入相关企业进行检查；（二）要求相关企业提供有关文件、资料和证明材料；（三）询问当事人、利害关系人和其他有关人员，并要求其提供有关材料；（四）查阅、复制、查封、扣押相关企业与直销活动有关的材料和非法财物；（五）检查有关人员的直销培训员证、直销员证等证件。</w:t>
            </w:r>
          </w:p>
        </w:tc>
        <w:tc>
          <w:tcPr>
            <w:tcW w:w="1485" w:type="dxa"/>
            <w:noWrap w:val="0"/>
            <w:vAlign w:val="center"/>
          </w:tcPr>
          <w:p w14:paraId="57CBFB46">
            <w:pPr>
              <w:jc w:val="left"/>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 w:hAnsi="仿宋" w:eastAsia="仿宋" w:cs="仿宋"/>
                <w:sz w:val="24"/>
                <w:szCs w:val="32"/>
                <w:vertAlign w:val="baseline"/>
                <w:lang w:val="en-US" w:eastAsia="zh-CN"/>
              </w:rPr>
              <w:t>综合业务科</w:t>
            </w:r>
          </w:p>
        </w:tc>
        <w:tc>
          <w:tcPr>
            <w:tcW w:w="1179" w:type="dxa"/>
            <w:noWrap w:val="0"/>
            <w:vAlign w:val="center"/>
          </w:tcPr>
          <w:p w14:paraId="411A2194">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黄申彬</w:t>
            </w:r>
          </w:p>
          <w:p w14:paraId="23F56A5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陈  戈</w:t>
            </w:r>
          </w:p>
        </w:tc>
      </w:tr>
      <w:tr w14:paraId="04F6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exact"/>
        </w:trPr>
        <w:tc>
          <w:tcPr>
            <w:tcW w:w="996" w:type="dxa"/>
            <w:noWrap w:val="0"/>
            <w:vAlign w:val="center"/>
          </w:tcPr>
          <w:p w14:paraId="3DF0F785">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25</w:t>
            </w:r>
          </w:p>
        </w:tc>
        <w:tc>
          <w:tcPr>
            <w:tcW w:w="1716" w:type="dxa"/>
            <w:noWrap w:val="0"/>
            <w:vAlign w:val="center"/>
          </w:tcPr>
          <w:p w14:paraId="47AEF1EE">
            <w:pPr>
              <w:jc w:val="left"/>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对涉嫌传销行为的行政检查</w:t>
            </w:r>
          </w:p>
        </w:tc>
        <w:tc>
          <w:tcPr>
            <w:tcW w:w="1368" w:type="dxa"/>
            <w:noWrap w:val="0"/>
            <w:vAlign w:val="center"/>
          </w:tcPr>
          <w:p w14:paraId="41663B78">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7AA703CA">
            <w:pPr>
              <w:jc w:val="left"/>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《禁止传销条例》第四条　工商行政管理部门、公安机关应当依照本条例的规定，在各自的职责范围内查处传销行为。</w:t>
            </w:r>
          </w:p>
        </w:tc>
        <w:tc>
          <w:tcPr>
            <w:tcW w:w="1485" w:type="dxa"/>
            <w:noWrap w:val="0"/>
            <w:vAlign w:val="center"/>
          </w:tcPr>
          <w:p w14:paraId="5D4B521A">
            <w:pPr>
              <w:jc w:val="left"/>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 w:hAnsi="仿宋" w:eastAsia="仿宋" w:cs="仿宋"/>
                <w:sz w:val="24"/>
                <w:szCs w:val="32"/>
                <w:vertAlign w:val="baseline"/>
                <w:lang w:val="en-US" w:eastAsia="zh-CN"/>
              </w:rPr>
              <w:t>综合业务科</w:t>
            </w:r>
          </w:p>
        </w:tc>
        <w:tc>
          <w:tcPr>
            <w:tcW w:w="1179" w:type="dxa"/>
            <w:noWrap w:val="0"/>
            <w:vAlign w:val="center"/>
          </w:tcPr>
          <w:p w14:paraId="33110BC7">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黄申彬</w:t>
            </w:r>
          </w:p>
          <w:p w14:paraId="141FCB4C">
            <w:pPr>
              <w:jc w:val="center"/>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 w:hAnsi="仿宋" w:eastAsia="仿宋" w:cs="仿宋"/>
                <w:sz w:val="24"/>
                <w:szCs w:val="32"/>
                <w:vertAlign w:val="baseline"/>
                <w:lang w:val="en-US" w:eastAsia="zh-CN"/>
              </w:rPr>
              <w:t>陈  戈</w:t>
            </w:r>
          </w:p>
        </w:tc>
      </w:tr>
      <w:tr w14:paraId="5C35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exact"/>
        </w:trPr>
        <w:tc>
          <w:tcPr>
            <w:tcW w:w="996" w:type="dxa"/>
            <w:noWrap w:val="0"/>
            <w:vAlign w:val="center"/>
          </w:tcPr>
          <w:p w14:paraId="364AB5EE">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26</w:t>
            </w:r>
          </w:p>
        </w:tc>
        <w:tc>
          <w:tcPr>
            <w:tcW w:w="1716" w:type="dxa"/>
            <w:noWrap w:val="0"/>
            <w:vAlign w:val="center"/>
          </w:tcPr>
          <w:p w14:paraId="7E825583">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对涉嫌不正当竞争行为的行政检查</w:t>
            </w:r>
          </w:p>
        </w:tc>
        <w:tc>
          <w:tcPr>
            <w:tcW w:w="1368" w:type="dxa"/>
            <w:noWrap w:val="0"/>
            <w:vAlign w:val="center"/>
          </w:tcPr>
          <w:p w14:paraId="1033627D">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252530E5">
            <w:pPr>
              <w:jc w:val="both"/>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《中华人民共和国反不正当竞争法》第十三条　监督检查部门调查涉嫌不正当竞争行为，可以采取下列措施：（一）进入涉嫌不正当竞争行为的经营场所进行检查；（二）询问被调查的经营者、利害关系人及其他有关单位、个人，要求其说明有关情况或者提供与被调查行为。</w:t>
            </w:r>
          </w:p>
        </w:tc>
        <w:tc>
          <w:tcPr>
            <w:tcW w:w="1485" w:type="dxa"/>
            <w:noWrap w:val="0"/>
            <w:vAlign w:val="center"/>
          </w:tcPr>
          <w:p w14:paraId="42E33C46">
            <w:pPr>
              <w:jc w:val="center"/>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 w:hAnsi="仿宋" w:eastAsia="仿宋" w:cs="仿宋"/>
                <w:sz w:val="24"/>
                <w:szCs w:val="32"/>
                <w:vertAlign w:val="baseline"/>
                <w:lang w:val="en-US" w:eastAsia="zh-CN"/>
              </w:rPr>
              <w:t>综合业务科</w:t>
            </w:r>
          </w:p>
        </w:tc>
        <w:tc>
          <w:tcPr>
            <w:tcW w:w="1179" w:type="dxa"/>
            <w:noWrap w:val="0"/>
            <w:vAlign w:val="center"/>
          </w:tcPr>
          <w:p w14:paraId="14395F04">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黄申彬</w:t>
            </w:r>
          </w:p>
          <w:p w14:paraId="1012A8C3">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陈  戈</w:t>
            </w:r>
          </w:p>
        </w:tc>
      </w:tr>
      <w:tr w14:paraId="5023E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9" w:hRule="exact"/>
        </w:trPr>
        <w:tc>
          <w:tcPr>
            <w:tcW w:w="996" w:type="dxa"/>
            <w:noWrap w:val="0"/>
            <w:vAlign w:val="center"/>
          </w:tcPr>
          <w:p w14:paraId="4BB829BA">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27</w:t>
            </w:r>
          </w:p>
        </w:tc>
        <w:tc>
          <w:tcPr>
            <w:tcW w:w="1716" w:type="dxa"/>
            <w:noWrap w:val="0"/>
            <w:vAlign w:val="center"/>
          </w:tcPr>
          <w:p w14:paraId="61B2E2FE">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对价格活动的行政检查</w:t>
            </w:r>
          </w:p>
        </w:tc>
        <w:tc>
          <w:tcPr>
            <w:tcW w:w="1368" w:type="dxa"/>
            <w:noWrap w:val="0"/>
            <w:vAlign w:val="center"/>
          </w:tcPr>
          <w:p w14:paraId="65B8A074">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3D2232D2">
            <w:pPr>
              <w:jc w:val="left"/>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《中华人民共和国价格法》第三十三条 县级以上各级人民政府价格主管部门，依法对价格活动进行监督检查，并依照本法的规定对价格违法行为实施行政处罚。《价格违法行为行政处罚规定》第二条　县级以上各级人民政府价格主管部门依法对价格活动进行监督检查，并决定对价格违法行为的行政处罚。</w:t>
            </w:r>
          </w:p>
        </w:tc>
        <w:tc>
          <w:tcPr>
            <w:tcW w:w="1485" w:type="dxa"/>
            <w:noWrap w:val="0"/>
            <w:vAlign w:val="center"/>
          </w:tcPr>
          <w:p w14:paraId="162E21C3">
            <w:pPr>
              <w:jc w:val="center"/>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 w:hAnsi="仿宋" w:eastAsia="仿宋" w:cs="仿宋"/>
                <w:sz w:val="24"/>
                <w:szCs w:val="32"/>
                <w:vertAlign w:val="baseline"/>
                <w:lang w:val="en-US" w:eastAsia="zh-CN"/>
              </w:rPr>
              <w:t>综合业务科</w:t>
            </w:r>
          </w:p>
        </w:tc>
        <w:tc>
          <w:tcPr>
            <w:tcW w:w="1179" w:type="dxa"/>
            <w:noWrap w:val="0"/>
            <w:vAlign w:val="center"/>
          </w:tcPr>
          <w:p w14:paraId="21BC4840">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黄申彬</w:t>
            </w:r>
          </w:p>
          <w:p w14:paraId="1874CA6F">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陈  戈</w:t>
            </w:r>
          </w:p>
        </w:tc>
      </w:tr>
      <w:tr w14:paraId="6AEF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exact"/>
        </w:trPr>
        <w:tc>
          <w:tcPr>
            <w:tcW w:w="996" w:type="dxa"/>
            <w:noWrap w:val="0"/>
            <w:vAlign w:val="center"/>
          </w:tcPr>
          <w:p w14:paraId="65DAB341">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28</w:t>
            </w:r>
          </w:p>
        </w:tc>
        <w:tc>
          <w:tcPr>
            <w:tcW w:w="1716" w:type="dxa"/>
            <w:noWrap w:val="0"/>
            <w:vAlign w:val="center"/>
          </w:tcPr>
          <w:p w14:paraId="127E69E5">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对国家机关、事业单位收费的行政检查</w:t>
            </w:r>
          </w:p>
        </w:tc>
        <w:tc>
          <w:tcPr>
            <w:tcW w:w="1368" w:type="dxa"/>
            <w:noWrap w:val="0"/>
            <w:vAlign w:val="center"/>
          </w:tcPr>
          <w:p w14:paraId="3952E355">
            <w:pPr>
              <w:jc w:val="center"/>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6F233131">
            <w:pPr>
              <w:jc w:val="left"/>
              <w:rPr>
                <w:rFonts w:hint="eastAsia" w:ascii="仿宋_GB2312" w:hAnsi="仿宋_GB2312" w:eastAsia="仿宋_GB2312" w:cs="仿宋_GB2312"/>
                <w:color w:val="auto"/>
                <w:kern w:val="0"/>
                <w:sz w:val="24"/>
                <w:highlight w:val="none"/>
                <w:shd w:val="clear" w:color="auto" w:fill="FFFFFF"/>
                <w:lang w:eastAsia="zh-CN" w:bidi="ar"/>
              </w:rPr>
            </w:pPr>
            <w:r>
              <w:rPr>
                <w:rFonts w:hint="eastAsia" w:ascii="仿宋" w:hAnsi="仿宋" w:eastAsia="仿宋" w:cs="仿宋"/>
                <w:sz w:val="24"/>
                <w:szCs w:val="32"/>
                <w:vertAlign w:val="baseline"/>
                <w:lang w:val="en-US" w:eastAsia="zh-CN"/>
              </w:rPr>
              <w:t>《中华人民共和国价格法》第四十七条第一款  国家行政机关的收费，应当依法进行，严格控制收费项目，限定收费范围、标准。收费的具体管理办法由国务院另行制定。</w:t>
            </w:r>
          </w:p>
        </w:tc>
        <w:tc>
          <w:tcPr>
            <w:tcW w:w="1485" w:type="dxa"/>
            <w:noWrap w:val="0"/>
            <w:vAlign w:val="center"/>
          </w:tcPr>
          <w:p w14:paraId="75585018">
            <w:pPr>
              <w:jc w:val="center"/>
              <w:rPr>
                <w:rFonts w:hint="eastAsia" w:ascii="仿宋_GB2312" w:hAnsi="仿宋_GB2312" w:eastAsia="仿宋_GB2312" w:cs="仿宋_GB2312"/>
                <w:color w:val="auto"/>
                <w:kern w:val="0"/>
                <w:sz w:val="24"/>
                <w:highlight w:val="none"/>
                <w:shd w:val="clear" w:color="auto" w:fill="FFFFFF"/>
                <w:lang w:val="en-US" w:eastAsia="zh-CN" w:bidi="ar"/>
              </w:rPr>
            </w:pPr>
            <w:r>
              <w:rPr>
                <w:rFonts w:hint="eastAsia" w:ascii="仿宋" w:hAnsi="仿宋" w:eastAsia="仿宋" w:cs="仿宋"/>
                <w:sz w:val="24"/>
                <w:szCs w:val="32"/>
                <w:vertAlign w:val="baseline"/>
                <w:lang w:val="en-US" w:eastAsia="zh-CN"/>
              </w:rPr>
              <w:t>综合业务科</w:t>
            </w:r>
          </w:p>
        </w:tc>
        <w:tc>
          <w:tcPr>
            <w:tcW w:w="1179" w:type="dxa"/>
            <w:noWrap w:val="0"/>
            <w:vAlign w:val="center"/>
          </w:tcPr>
          <w:p w14:paraId="7A05C01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黄申彬</w:t>
            </w:r>
          </w:p>
          <w:p w14:paraId="5B2C20B5">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陈  戈</w:t>
            </w:r>
          </w:p>
        </w:tc>
      </w:tr>
      <w:tr w14:paraId="7DA4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exact"/>
        </w:trPr>
        <w:tc>
          <w:tcPr>
            <w:tcW w:w="996" w:type="dxa"/>
            <w:noWrap w:val="0"/>
            <w:vAlign w:val="center"/>
          </w:tcPr>
          <w:p w14:paraId="2FE73BF5">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4"/>
                <w:highlight w:val="none"/>
                <w:shd w:val="clear" w:color="auto" w:fill="FFFFFF"/>
                <w:lang w:val="en-US" w:eastAsia="zh-CN" w:bidi="ar"/>
              </w:rPr>
            </w:pPr>
            <w:r>
              <w:rPr>
                <w:rFonts w:hint="eastAsia" w:ascii="仿宋_GB2312" w:hAnsi="仿宋_GB2312" w:eastAsia="仿宋_GB2312" w:cs="仿宋_GB2312"/>
                <w:color w:val="auto"/>
                <w:kern w:val="0"/>
                <w:sz w:val="24"/>
                <w:highlight w:val="none"/>
                <w:shd w:val="clear" w:color="auto" w:fill="FFFFFF"/>
                <w:lang w:val="en-US" w:eastAsia="zh-CN" w:bidi="ar"/>
              </w:rPr>
              <w:t>29</w:t>
            </w:r>
          </w:p>
        </w:tc>
        <w:tc>
          <w:tcPr>
            <w:tcW w:w="1716" w:type="dxa"/>
            <w:noWrap w:val="0"/>
            <w:vAlign w:val="center"/>
          </w:tcPr>
          <w:p w14:paraId="2666152C">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对标准实施的监督检查</w:t>
            </w:r>
          </w:p>
        </w:tc>
        <w:tc>
          <w:tcPr>
            <w:tcW w:w="1368" w:type="dxa"/>
            <w:noWrap w:val="0"/>
            <w:vAlign w:val="center"/>
          </w:tcPr>
          <w:p w14:paraId="5B5D769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630B10E0">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《标准化法》第三十二条 县级以上人民政府标准化行政主管部门、有关行政主管部门依据法定职责,对标准的制定进行指导和监督，对标准的实施进行监督检查。</w:t>
            </w:r>
          </w:p>
        </w:tc>
        <w:tc>
          <w:tcPr>
            <w:tcW w:w="1485" w:type="dxa"/>
            <w:noWrap w:val="0"/>
            <w:vAlign w:val="center"/>
          </w:tcPr>
          <w:p w14:paraId="5E0B6416">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标准化管理科</w:t>
            </w:r>
          </w:p>
        </w:tc>
        <w:tc>
          <w:tcPr>
            <w:tcW w:w="1179" w:type="dxa"/>
            <w:noWrap w:val="0"/>
            <w:vAlign w:val="center"/>
          </w:tcPr>
          <w:p w14:paraId="1D8761AF">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周永明</w:t>
            </w:r>
          </w:p>
          <w:p w14:paraId="40D1C16D">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魏墨炀</w:t>
            </w:r>
          </w:p>
        </w:tc>
      </w:tr>
      <w:tr w14:paraId="206D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exact"/>
        </w:trPr>
        <w:tc>
          <w:tcPr>
            <w:tcW w:w="996" w:type="dxa"/>
            <w:noWrap w:val="0"/>
            <w:vAlign w:val="center"/>
          </w:tcPr>
          <w:p w14:paraId="27FCCE06">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30</w:t>
            </w:r>
          </w:p>
        </w:tc>
        <w:tc>
          <w:tcPr>
            <w:tcW w:w="1716" w:type="dxa"/>
            <w:noWrap w:val="0"/>
            <w:vAlign w:val="center"/>
          </w:tcPr>
          <w:p w14:paraId="579995A3">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对特种设备生产、检验、检测机构的监督检查</w:t>
            </w:r>
          </w:p>
        </w:tc>
        <w:tc>
          <w:tcPr>
            <w:tcW w:w="1368" w:type="dxa"/>
            <w:noWrap w:val="0"/>
            <w:vAlign w:val="center"/>
          </w:tcPr>
          <w:p w14:paraId="0BA110CA">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028B515E">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《特种设备安全法》第五十七条第一款：负责特种设备安全监督管理的部门依照本法规定，对特种设备生产、经营、使用单位和检验、检测机构实施监督检查。</w:t>
            </w:r>
          </w:p>
        </w:tc>
        <w:tc>
          <w:tcPr>
            <w:tcW w:w="1485" w:type="dxa"/>
            <w:noWrap w:val="0"/>
            <w:vAlign w:val="center"/>
          </w:tcPr>
          <w:p w14:paraId="4AAFA86A">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特种设备</w:t>
            </w:r>
          </w:p>
          <w:p w14:paraId="18D82912">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安全监察科</w:t>
            </w:r>
          </w:p>
        </w:tc>
        <w:tc>
          <w:tcPr>
            <w:tcW w:w="1179" w:type="dxa"/>
            <w:noWrap w:val="0"/>
            <w:vAlign w:val="center"/>
          </w:tcPr>
          <w:p w14:paraId="137B66E3">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刘  佳</w:t>
            </w:r>
          </w:p>
          <w:p w14:paraId="01DADBB3">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李彦军</w:t>
            </w:r>
          </w:p>
          <w:p w14:paraId="6FD98386">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张永军</w:t>
            </w:r>
          </w:p>
        </w:tc>
      </w:tr>
      <w:tr w14:paraId="0987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1" w:hRule="exact"/>
        </w:trPr>
        <w:tc>
          <w:tcPr>
            <w:tcW w:w="996" w:type="dxa"/>
            <w:noWrap w:val="0"/>
            <w:vAlign w:val="center"/>
          </w:tcPr>
          <w:p w14:paraId="32A88215">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31</w:t>
            </w:r>
          </w:p>
        </w:tc>
        <w:tc>
          <w:tcPr>
            <w:tcW w:w="1716" w:type="dxa"/>
            <w:noWrap w:val="0"/>
            <w:vAlign w:val="center"/>
          </w:tcPr>
          <w:p w14:paraId="29D0B802">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对特种设备检验、检测机构的检验、检测结果和鉴定结论的的监督抽查</w:t>
            </w:r>
          </w:p>
        </w:tc>
        <w:tc>
          <w:tcPr>
            <w:tcW w:w="1368" w:type="dxa"/>
            <w:noWrap w:val="0"/>
            <w:vAlign w:val="center"/>
          </w:tcPr>
          <w:p w14:paraId="5378BEC5">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3A777C82">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《特种设备安全法》第六十六条 负责特种设备安全监督管理的部门对特种设备生产、经营、使用单位和检验、检测机构实施监督检查，应当对每次监督检查的内容、发现的问题及处理情况作出记录，并由参加监督检查的特种设备安全监察人员和被检查单位的有关负责人签字后归档。被检查单位的有关负责人拒绝签字的，特种设备安全监察人员应当将情况记录在案。</w:t>
            </w:r>
          </w:p>
        </w:tc>
        <w:tc>
          <w:tcPr>
            <w:tcW w:w="1485" w:type="dxa"/>
            <w:noWrap w:val="0"/>
            <w:vAlign w:val="center"/>
          </w:tcPr>
          <w:p w14:paraId="4B68DDA2">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特种设备</w:t>
            </w:r>
          </w:p>
          <w:p w14:paraId="50FDC9F9">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安全监察科</w:t>
            </w:r>
          </w:p>
        </w:tc>
        <w:tc>
          <w:tcPr>
            <w:tcW w:w="1179" w:type="dxa"/>
            <w:noWrap w:val="0"/>
            <w:vAlign w:val="center"/>
          </w:tcPr>
          <w:p w14:paraId="7DDDC9A3">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刘  佳</w:t>
            </w:r>
          </w:p>
          <w:p w14:paraId="2A24B1E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李彦军</w:t>
            </w:r>
          </w:p>
          <w:p w14:paraId="6B49DEB3">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张永军</w:t>
            </w:r>
          </w:p>
        </w:tc>
      </w:tr>
      <w:tr w14:paraId="1E04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3" w:hRule="exact"/>
        </w:trPr>
        <w:tc>
          <w:tcPr>
            <w:tcW w:w="996" w:type="dxa"/>
            <w:noWrap w:val="0"/>
            <w:vAlign w:val="center"/>
          </w:tcPr>
          <w:p w14:paraId="319E9415">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32</w:t>
            </w:r>
          </w:p>
        </w:tc>
        <w:tc>
          <w:tcPr>
            <w:tcW w:w="1716" w:type="dxa"/>
            <w:noWrap w:val="0"/>
            <w:vAlign w:val="top"/>
          </w:tcPr>
          <w:p w14:paraId="3581A19D">
            <w:pPr>
              <w:jc w:val="center"/>
              <w:rPr>
                <w:rFonts w:hint="eastAsia" w:ascii="仿宋" w:hAnsi="仿宋" w:eastAsia="仿宋" w:cs="仿宋"/>
                <w:sz w:val="24"/>
                <w:szCs w:val="32"/>
                <w:vertAlign w:val="baseline"/>
                <w:lang w:val="en-US" w:eastAsia="zh-CN"/>
              </w:rPr>
            </w:pPr>
          </w:p>
          <w:p w14:paraId="1C066CAD">
            <w:pPr>
              <w:jc w:val="center"/>
              <w:rPr>
                <w:rFonts w:hint="eastAsia" w:ascii="仿宋" w:hAnsi="仿宋" w:eastAsia="仿宋" w:cs="仿宋"/>
                <w:sz w:val="24"/>
                <w:szCs w:val="32"/>
                <w:vertAlign w:val="baseline"/>
                <w:lang w:val="en-US" w:eastAsia="zh-CN"/>
              </w:rPr>
            </w:pPr>
          </w:p>
          <w:p w14:paraId="1F7A9534">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开展产品质量监督检查</w:t>
            </w:r>
          </w:p>
        </w:tc>
        <w:tc>
          <w:tcPr>
            <w:tcW w:w="1368" w:type="dxa"/>
            <w:noWrap w:val="0"/>
            <w:vAlign w:val="top"/>
          </w:tcPr>
          <w:p w14:paraId="07FA0146">
            <w:pPr>
              <w:jc w:val="center"/>
              <w:rPr>
                <w:rFonts w:hint="eastAsia" w:ascii="仿宋" w:hAnsi="仿宋" w:eastAsia="仿宋" w:cs="仿宋"/>
                <w:sz w:val="24"/>
                <w:szCs w:val="32"/>
                <w:vertAlign w:val="baseline"/>
                <w:lang w:val="en-US" w:eastAsia="zh-CN"/>
              </w:rPr>
            </w:pPr>
          </w:p>
          <w:p w14:paraId="1B7B5EAF">
            <w:pPr>
              <w:jc w:val="center"/>
              <w:rPr>
                <w:rFonts w:hint="eastAsia" w:ascii="仿宋" w:hAnsi="仿宋" w:eastAsia="仿宋" w:cs="仿宋"/>
                <w:sz w:val="24"/>
                <w:szCs w:val="32"/>
                <w:vertAlign w:val="baseline"/>
                <w:lang w:val="en-US" w:eastAsia="zh-CN"/>
              </w:rPr>
            </w:pPr>
          </w:p>
          <w:p w14:paraId="5BBD7A22">
            <w:pPr>
              <w:jc w:val="center"/>
              <w:rPr>
                <w:rFonts w:hint="eastAsia" w:ascii="仿宋" w:hAnsi="仿宋" w:eastAsia="仿宋" w:cs="仿宋"/>
                <w:sz w:val="24"/>
                <w:szCs w:val="32"/>
                <w:vertAlign w:val="baseline"/>
                <w:lang w:val="en-US" w:eastAsia="zh-CN"/>
              </w:rPr>
            </w:pPr>
          </w:p>
          <w:p w14:paraId="52A16DF6">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top"/>
          </w:tcPr>
          <w:p w14:paraId="1CE1BF8D">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《产品质量法》第十五条第一款 国家对产品质量实行以抽查为主要方式的监督检查制度，对可能危及人体健康和人身、财产安全的产品，影响国计民生的重要工业产品以及消费者、有关组织反映有质量问题的产品进行抽查。抽查的样品应当在市场上或者企业成品仓库内的待销产品中随机抽取。监督抽查工作由国务院市场监督管理部门规划和组织。县级以上地方市场监督管理部门在本行政区域内也可以组织监督抽查。法律对产品质量的监督检查另有规定的，依照有关法律的规定执行。</w:t>
            </w:r>
          </w:p>
        </w:tc>
        <w:tc>
          <w:tcPr>
            <w:tcW w:w="1485" w:type="dxa"/>
            <w:noWrap w:val="0"/>
            <w:vAlign w:val="top"/>
          </w:tcPr>
          <w:p w14:paraId="104F745A">
            <w:pPr>
              <w:jc w:val="center"/>
              <w:rPr>
                <w:rFonts w:hint="eastAsia" w:ascii="仿宋" w:hAnsi="仿宋" w:eastAsia="仿宋" w:cs="仿宋"/>
                <w:sz w:val="24"/>
                <w:szCs w:val="32"/>
                <w:vertAlign w:val="baseline"/>
                <w:lang w:val="en-US" w:eastAsia="zh-CN"/>
              </w:rPr>
            </w:pPr>
          </w:p>
          <w:p w14:paraId="353082F7">
            <w:pPr>
              <w:jc w:val="center"/>
              <w:rPr>
                <w:rFonts w:hint="eastAsia" w:ascii="仿宋" w:hAnsi="仿宋" w:eastAsia="仿宋" w:cs="仿宋"/>
                <w:sz w:val="24"/>
                <w:szCs w:val="32"/>
                <w:vertAlign w:val="baseline"/>
                <w:lang w:val="en-US" w:eastAsia="zh-CN"/>
              </w:rPr>
            </w:pPr>
          </w:p>
          <w:p w14:paraId="35F89167">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产品质量</w:t>
            </w:r>
          </w:p>
          <w:p w14:paraId="01DC01FF">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监管科</w:t>
            </w:r>
          </w:p>
        </w:tc>
        <w:tc>
          <w:tcPr>
            <w:tcW w:w="1179" w:type="dxa"/>
            <w:noWrap w:val="0"/>
            <w:vAlign w:val="top"/>
          </w:tcPr>
          <w:p w14:paraId="34A02A5F">
            <w:pPr>
              <w:jc w:val="center"/>
              <w:rPr>
                <w:rFonts w:hint="eastAsia" w:ascii="仿宋" w:hAnsi="仿宋" w:eastAsia="仿宋" w:cs="仿宋"/>
                <w:sz w:val="24"/>
                <w:szCs w:val="32"/>
                <w:vertAlign w:val="baseline"/>
                <w:lang w:val="en-US" w:eastAsia="zh-CN"/>
              </w:rPr>
            </w:pPr>
          </w:p>
          <w:p w14:paraId="18F9C09D">
            <w:pPr>
              <w:jc w:val="center"/>
              <w:rPr>
                <w:rFonts w:hint="eastAsia" w:ascii="仿宋" w:hAnsi="仿宋" w:eastAsia="仿宋" w:cs="仿宋"/>
                <w:sz w:val="24"/>
                <w:szCs w:val="32"/>
                <w:vertAlign w:val="baseline"/>
                <w:lang w:val="en-US" w:eastAsia="zh-CN"/>
              </w:rPr>
            </w:pPr>
          </w:p>
          <w:p w14:paraId="5979677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张建东</w:t>
            </w:r>
          </w:p>
          <w:p w14:paraId="66FAEE20">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李军杰</w:t>
            </w:r>
          </w:p>
          <w:p w14:paraId="316CAAE9">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 xml:space="preserve">郭  侠 </w:t>
            </w:r>
          </w:p>
        </w:tc>
      </w:tr>
      <w:tr w14:paraId="620B2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1" w:hRule="exact"/>
        </w:trPr>
        <w:tc>
          <w:tcPr>
            <w:tcW w:w="996" w:type="dxa"/>
            <w:noWrap w:val="0"/>
            <w:vAlign w:val="center"/>
          </w:tcPr>
          <w:p w14:paraId="25F0329D">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33</w:t>
            </w:r>
          </w:p>
        </w:tc>
        <w:tc>
          <w:tcPr>
            <w:tcW w:w="1716" w:type="dxa"/>
            <w:noWrap w:val="0"/>
            <w:vAlign w:val="top"/>
          </w:tcPr>
          <w:p w14:paraId="0BE4310B">
            <w:pPr>
              <w:jc w:val="center"/>
              <w:rPr>
                <w:rFonts w:hint="eastAsia" w:ascii="仿宋" w:hAnsi="仿宋" w:eastAsia="仿宋" w:cs="仿宋"/>
                <w:sz w:val="24"/>
                <w:szCs w:val="32"/>
                <w:vertAlign w:val="baseline"/>
                <w:lang w:val="en-US" w:eastAsia="zh-CN"/>
              </w:rPr>
            </w:pPr>
          </w:p>
          <w:p w14:paraId="1685A996">
            <w:pPr>
              <w:jc w:val="center"/>
              <w:rPr>
                <w:rFonts w:hint="eastAsia" w:ascii="仿宋" w:hAnsi="仿宋" w:eastAsia="仿宋" w:cs="仿宋"/>
                <w:sz w:val="24"/>
                <w:szCs w:val="32"/>
                <w:vertAlign w:val="baseline"/>
                <w:lang w:val="en-US" w:eastAsia="zh-CN"/>
              </w:rPr>
            </w:pPr>
          </w:p>
          <w:p w14:paraId="13EAA9AB">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工业产品生产许可证产品生产企业监督检查</w:t>
            </w:r>
          </w:p>
        </w:tc>
        <w:tc>
          <w:tcPr>
            <w:tcW w:w="1368" w:type="dxa"/>
            <w:noWrap w:val="0"/>
            <w:vAlign w:val="top"/>
          </w:tcPr>
          <w:p w14:paraId="204C1765">
            <w:pPr>
              <w:jc w:val="center"/>
              <w:rPr>
                <w:rFonts w:hint="eastAsia" w:ascii="仿宋" w:hAnsi="仿宋" w:eastAsia="仿宋" w:cs="仿宋"/>
                <w:sz w:val="24"/>
                <w:szCs w:val="32"/>
                <w:vertAlign w:val="baseline"/>
                <w:lang w:val="en-US" w:eastAsia="zh-CN"/>
              </w:rPr>
            </w:pPr>
          </w:p>
          <w:p w14:paraId="2D7CE6B6">
            <w:pPr>
              <w:jc w:val="center"/>
              <w:rPr>
                <w:rFonts w:hint="eastAsia" w:ascii="仿宋" w:hAnsi="仿宋" w:eastAsia="仿宋" w:cs="仿宋"/>
                <w:sz w:val="24"/>
                <w:szCs w:val="32"/>
                <w:vertAlign w:val="baseline"/>
                <w:lang w:val="en-US" w:eastAsia="zh-CN"/>
              </w:rPr>
            </w:pPr>
          </w:p>
          <w:p w14:paraId="6E60E1E9">
            <w:pPr>
              <w:jc w:val="center"/>
              <w:rPr>
                <w:rFonts w:hint="eastAsia" w:ascii="仿宋" w:hAnsi="仿宋" w:eastAsia="仿宋" w:cs="仿宋"/>
                <w:sz w:val="24"/>
                <w:szCs w:val="32"/>
                <w:vertAlign w:val="baseline"/>
                <w:lang w:val="en-US" w:eastAsia="zh-CN"/>
              </w:rPr>
            </w:pPr>
          </w:p>
          <w:p w14:paraId="5906A6F4">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top"/>
          </w:tcPr>
          <w:p w14:paraId="45029CC4">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1.《工业产品生产许可证管理条例》第三十六条第一款 国务院工业产品生产许可证主管部门和县级以上地方工业产品生产许可证主管部门依照本条例规定负责对生产列入目录产品的企业以及核查人员、检验机构及其检验人员的相关活动进行监督检查。</w:t>
            </w:r>
          </w:p>
          <w:p w14:paraId="120358F9">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2.《中华人民共和国工业产品生产许可证管理条例实施办法》第六条第五款　市、县级市场监督管理部门负责本行政区域内生产许可证监督检查工作。</w:t>
            </w:r>
          </w:p>
        </w:tc>
        <w:tc>
          <w:tcPr>
            <w:tcW w:w="1485" w:type="dxa"/>
            <w:noWrap w:val="0"/>
            <w:vAlign w:val="top"/>
          </w:tcPr>
          <w:p w14:paraId="6F9AFEA2">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 xml:space="preserve"> </w:t>
            </w:r>
          </w:p>
          <w:p w14:paraId="79D636DE">
            <w:pPr>
              <w:jc w:val="center"/>
              <w:rPr>
                <w:rFonts w:hint="eastAsia" w:ascii="仿宋" w:hAnsi="仿宋" w:eastAsia="仿宋" w:cs="仿宋"/>
                <w:sz w:val="24"/>
                <w:szCs w:val="32"/>
                <w:vertAlign w:val="baseline"/>
                <w:lang w:val="en-US" w:eastAsia="zh-CN"/>
              </w:rPr>
            </w:pPr>
          </w:p>
          <w:p w14:paraId="303DBCF4">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产品质量</w:t>
            </w:r>
          </w:p>
          <w:p w14:paraId="161CFCA8">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监管科</w:t>
            </w:r>
          </w:p>
        </w:tc>
        <w:tc>
          <w:tcPr>
            <w:tcW w:w="1179" w:type="dxa"/>
            <w:noWrap w:val="0"/>
            <w:vAlign w:val="top"/>
          </w:tcPr>
          <w:p w14:paraId="60F274C6">
            <w:pPr>
              <w:jc w:val="center"/>
              <w:rPr>
                <w:rFonts w:hint="eastAsia" w:ascii="仿宋" w:hAnsi="仿宋" w:eastAsia="仿宋" w:cs="仿宋"/>
                <w:sz w:val="24"/>
                <w:szCs w:val="32"/>
                <w:vertAlign w:val="baseline"/>
                <w:lang w:val="en-US" w:eastAsia="zh-CN"/>
              </w:rPr>
            </w:pPr>
          </w:p>
          <w:p w14:paraId="2C116A08">
            <w:pPr>
              <w:jc w:val="center"/>
              <w:rPr>
                <w:rFonts w:hint="eastAsia" w:ascii="仿宋" w:hAnsi="仿宋" w:eastAsia="仿宋" w:cs="仿宋"/>
                <w:sz w:val="24"/>
                <w:szCs w:val="32"/>
                <w:vertAlign w:val="baseline"/>
                <w:lang w:val="en-US" w:eastAsia="zh-CN"/>
              </w:rPr>
            </w:pPr>
          </w:p>
          <w:p w14:paraId="3D559AC8">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张建东</w:t>
            </w:r>
          </w:p>
          <w:p w14:paraId="2BEFE813">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李军杰</w:t>
            </w:r>
          </w:p>
          <w:p w14:paraId="14199507">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郭  侠</w:t>
            </w:r>
          </w:p>
        </w:tc>
      </w:tr>
      <w:tr w14:paraId="4198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exact"/>
        </w:trPr>
        <w:tc>
          <w:tcPr>
            <w:tcW w:w="996" w:type="dxa"/>
            <w:noWrap w:val="0"/>
            <w:vAlign w:val="center"/>
          </w:tcPr>
          <w:p w14:paraId="394CF34E">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34</w:t>
            </w:r>
          </w:p>
        </w:tc>
        <w:tc>
          <w:tcPr>
            <w:tcW w:w="1716" w:type="dxa"/>
            <w:noWrap w:val="0"/>
            <w:vAlign w:val="top"/>
          </w:tcPr>
          <w:p w14:paraId="5657943F">
            <w:pPr>
              <w:jc w:val="center"/>
              <w:rPr>
                <w:rFonts w:hint="eastAsia" w:ascii="仿宋" w:hAnsi="仿宋" w:eastAsia="仿宋" w:cs="仿宋"/>
                <w:sz w:val="24"/>
                <w:szCs w:val="32"/>
                <w:vertAlign w:val="baseline"/>
                <w:lang w:val="en-US" w:eastAsia="zh-CN"/>
              </w:rPr>
            </w:pPr>
          </w:p>
          <w:p w14:paraId="5F77A10F">
            <w:pPr>
              <w:jc w:val="both"/>
              <w:rPr>
                <w:rFonts w:hint="eastAsia" w:ascii="仿宋" w:hAnsi="仿宋" w:eastAsia="仿宋" w:cs="仿宋"/>
                <w:sz w:val="24"/>
                <w:szCs w:val="32"/>
                <w:vertAlign w:val="baseline"/>
                <w:lang w:val="en-US" w:eastAsia="zh-CN"/>
              </w:rPr>
            </w:pPr>
          </w:p>
          <w:p w14:paraId="4D774B32">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纤维制品质量监督</w:t>
            </w:r>
          </w:p>
        </w:tc>
        <w:tc>
          <w:tcPr>
            <w:tcW w:w="1368" w:type="dxa"/>
            <w:noWrap w:val="0"/>
            <w:vAlign w:val="top"/>
          </w:tcPr>
          <w:p w14:paraId="52AF1A50">
            <w:pPr>
              <w:jc w:val="center"/>
              <w:rPr>
                <w:rFonts w:hint="eastAsia" w:ascii="仿宋" w:hAnsi="仿宋" w:eastAsia="仿宋" w:cs="仿宋"/>
                <w:sz w:val="24"/>
                <w:szCs w:val="32"/>
                <w:vertAlign w:val="baseline"/>
                <w:lang w:val="en-US" w:eastAsia="zh-CN"/>
              </w:rPr>
            </w:pPr>
          </w:p>
          <w:p w14:paraId="6CFE983D">
            <w:pPr>
              <w:jc w:val="center"/>
              <w:rPr>
                <w:rFonts w:hint="eastAsia" w:ascii="仿宋" w:hAnsi="仿宋" w:eastAsia="仿宋" w:cs="仿宋"/>
                <w:sz w:val="24"/>
                <w:szCs w:val="32"/>
                <w:vertAlign w:val="baseline"/>
                <w:lang w:val="en-US" w:eastAsia="zh-CN"/>
              </w:rPr>
            </w:pPr>
          </w:p>
          <w:p w14:paraId="3A452A0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top"/>
          </w:tcPr>
          <w:p w14:paraId="0D379F43">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《纤维制品质量监督管理办法》</w:t>
            </w:r>
            <w:r>
              <w:rPr>
                <w:rFonts w:hint="default" w:ascii="仿宋" w:hAnsi="仿宋" w:eastAsia="仿宋" w:cs="仿宋"/>
                <w:sz w:val="24"/>
                <w:szCs w:val="32"/>
                <w:vertAlign w:val="baseline"/>
                <w:lang w:val="en-US" w:eastAsia="zh-CN"/>
              </w:rPr>
              <w:t>第三条　设有专业纤维检验机构的地方，由专业纤维检验机构在其管辖范围内对纤维制品质量实施监督;没有设立专业纤维检验机构的地方，由质量技术监督部门在其管辖范围内对纤维制品质量实施监督(地方质量技术监督部门和专业纤维检验机构统称纤维质量监督机构)。</w:t>
            </w:r>
          </w:p>
        </w:tc>
        <w:tc>
          <w:tcPr>
            <w:tcW w:w="1485" w:type="dxa"/>
            <w:noWrap w:val="0"/>
            <w:vAlign w:val="center"/>
          </w:tcPr>
          <w:p w14:paraId="16515015">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产品质量</w:t>
            </w:r>
          </w:p>
          <w:p w14:paraId="2219AA5F">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监管科</w:t>
            </w:r>
          </w:p>
        </w:tc>
        <w:tc>
          <w:tcPr>
            <w:tcW w:w="1179" w:type="dxa"/>
            <w:noWrap w:val="0"/>
            <w:vAlign w:val="top"/>
          </w:tcPr>
          <w:p w14:paraId="6E58F012">
            <w:pPr>
              <w:jc w:val="both"/>
              <w:rPr>
                <w:rFonts w:hint="eastAsia" w:ascii="仿宋" w:hAnsi="仿宋" w:eastAsia="仿宋" w:cs="仿宋"/>
                <w:sz w:val="24"/>
                <w:szCs w:val="32"/>
                <w:vertAlign w:val="baseline"/>
                <w:lang w:val="en-US" w:eastAsia="zh-CN"/>
              </w:rPr>
            </w:pPr>
          </w:p>
          <w:p w14:paraId="31C4D7A0">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张建东</w:t>
            </w:r>
          </w:p>
          <w:p w14:paraId="54F89236">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李军杰</w:t>
            </w:r>
          </w:p>
          <w:p w14:paraId="4D5DAA7B">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郭  侠</w:t>
            </w:r>
          </w:p>
        </w:tc>
      </w:tr>
      <w:tr w14:paraId="646D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exact"/>
        </w:trPr>
        <w:tc>
          <w:tcPr>
            <w:tcW w:w="996" w:type="dxa"/>
            <w:noWrap w:val="0"/>
            <w:vAlign w:val="center"/>
          </w:tcPr>
          <w:p w14:paraId="4FA4C773">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35</w:t>
            </w:r>
          </w:p>
        </w:tc>
        <w:tc>
          <w:tcPr>
            <w:tcW w:w="1716" w:type="dxa"/>
            <w:noWrap w:val="0"/>
            <w:vAlign w:val="top"/>
          </w:tcPr>
          <w:p w14:paraId="712D8F38">
            <w:pPr>
              <w:jc w:val="center"/>
              <w:rPr>
                <w:rFonts w:hint="eastAsia" w:ascii="仿宋" w:hAnsi="仿宋" w:eastAsia="仿宋" w:cs="仿宋"/>
                <w:sz w:val="24"/>
                <w:szCs w:val="32"/>
                <w:vertAlign w:val="baseline"/>
                <w:lang w:val="en-US" w:eastAsia="zh-CN"/>
              </w:rPr>
            </w:pPr>
          </w:p>
          <w:p w14:paraId="1A7F9FF6">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对毛绒纤维经营者活动的行政检查</w:t>
            </w:r>
          </w:p>
        </w:tc>
        <w:tc>
          <w:tcPr>
            <w:tcW w:w="1368" w:type="dxa"/>
            <w:noWrap w:val="0"/>
            <w:vAlign w:val="top"/>
          </w:tcPr>
          <w:p w14:paraId="276E3D8E">
            <w:pPr>
              <w:jc w:val="center"/>
              <w:rPr>
                <w:rFonts w:hint="eastAsia" w:ascii="仿宋" w:hAnsi="仿宋" w:eastAsia="仿宋" w:cs="仿宋"/>
                <w:sz w:val="24"/>
                <w:szCs w:val="32"/>
                <w:vertAlign w:val="baseline"/>
                <w:lang w:val="en-US" w:eastAsia="zh-CN"/>
              </w:rPr>
            </w:pPr>
          </w:p>
          <w:p w14:paraId="76CA35CD">
            <w:pPr>
              <w:jc w:val="center"/>
              <w:rPr>
                <w:rFonts w:hint="eastAsia" w:ascii="仿宋" w:hAnsi="仿宋" w:eastAsia="仿宋" w:cs="仿宋"/>
                <w:sz w:val="24"/>
                <w:szCs w:val="32"/>
                <w:vertAlign w:val="baseline"/>
                <w:lang w:val="en-US" w:eastAsia="zh-CN"/>
              </w:rPr>
            </w:pPr>
          </w:p>
          <w:p w14:paraId="1974A534">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top"/>
          </w:tcPr>
          <w:p w14:paraId="3991ECAF">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《毛绒纤维质量监督管理办法》第八条  纤维质量监督机构对公证检验和本办法第九条规定的检验以外的毛绒纤维实施监督检查。监督检查的内容是：毛绒纤维质量、数量和包装是否符合国家标准；毛绒纤维标识以及质量凭证是否与实物相符等。</w:t>
            </w:r>
          </w:p>
        </w:tc>
        <w:tc>
          <w:tcPr>
            <w:tcW w:w="1485" w:type="dxa"/>
            <w:noWrap w:val="0"/>
            <w:vAlign w:val="top"/>
          </w:tcPr>
          <w:p w14:paraId="48D0B704">
            <w:pPr>
              <w:jc w:val="center"/>
              <w:rPr>
                <w:rFonts w:hint="eastAsia" w:ascii="仿宋" w:hAnsi="仿宋" w:eastAsia="仿宋" w:cs="仿宋"/>
                <w:sz w:val="24"/>
                <w:szCs w:val="32"/>
                <w:vertAlign w:val="baseline"/>
                <w:lang w:val="en-US" w:eastAsia="zh-CN"/>
              </w:rPr>
            </w:pPr>
          </w:p>
          <w:p w14:paraId="20C727E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产品质量</w:t>
            </w:r>
          </w:p>
          <w:p w14:paraId="4D381EE3">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监管科</w:t>
            </w:r>
          </w:p>
        </w:tc>
        <w:tc>
          <w:tcPr>
            <w:tcW w:w="1179" w:type="dxa"/>
            <w:noWrap w:val="0"/>
            <w:vAlign w:val="top"/>
          </w:tcPr>
          <w:p w14:paraId="1A737CA7">
            <w:pPr>
              <w:jc w:val="center"/>
              <w:rPr>
                <w:rFonts w:hint="eastAsia" w:ascii="仿宋" w:hAnsi="仿宋" w:eastAsia="仿宋" w:cs="仿宋"/>
                <w:sz w:val="24"/>
                <w:szCs w:val="32"/>
                <w:vertAlign w:val="baseline"/>
                <w:lang w:val="en-US" w:eastAsia="zh-CN"/>
              </w:rPr>
            </w:pPr>
          </w:p>
          <w:p w14:paraId="745639CB">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张建东</w:t>
            </w:r>
          </w:p>
          <w:p w14:paraId="76B5DBBA">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李军杰</w:t>
            </w:r>
          </w:p>
          <w:p w14:paraId="0CAC3148">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郭  侠</w:t>
            </w:r>
          </w:p>
        </w:tc>
      </w:tr>
      <w:tr w14:paraId="4533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9" w:hRule="exact"/>
        </w:trPr>
        <w:tc>
          <w:tcPr>
            <w:tcW w:w="996" w:type="dxa"/>
            <w:noWrap w:val="0"/>
            <w:vAlign w:val="center"/>
          </w:tcPr>
          <w:p w14:paraId="3554CC8C">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36</w:t>
            </w:r>
          </w:p>
        </w:tc>
        <w:tc>
          <w:tcPr>
            <w:tcW w:w="1716" w:type="dxa"/>
            <w:noWrap w:val="0"/>
            <w:vAlign w:val="center"/>
          </w:tcPr>
          <w:p w14:paraId="5DBF4F0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对食品销售环节的行政检查</w:t>
            </w:r>
          </w:p>
        </w:tc>
        <w:tc>
          <w:tcPr>
            <w:tcW w:w="1368" w:type="dxa"/>
            <w:noWrap w:val="0"/>
            <w:vAlign w:val="center"/>
          </w:tcPr>
          <w:p w14:paraId="4870D136">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top"/>
          </w:tcPr>
          <w:p w14:paraId="226CDC89">
            <w:pPr>
              <w:numPr>
                <w:ilvl w:val="0"/>
                <w:numId w:val="1"/>
              </w:num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《中华人民共和国食品安全法》第一百一十条  县级以上人民政府食品安全监督管理部门履行食品安全监督管理职责，有权采取下列措施，对生产经营者遵守本法的情况进行监督检查：（一）进入生产经营场所实施现场检查；（二）对生产经营的食品、食品添加剂、食品相关产品进行抽样检验；（三）查阅、复制有关合同、票据、账簿以及其他有关资料。</w:t>
            </w:r>
          </w:p>
          <w:p w14:paraId="4D74684F">
            <w:pPr>
              <w:numPr>
                <w:ilvl w:val="0"/>
                <w:numId w:val="1"/>
              </w:numPr>
              <w:ind w:left="0" w:leftChars="0" w:firstLine="0" w:firstLineChars="0"/>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《中华人民共和国食品安全法实施条例》第五十九条第一款   设区的市级以上人民政府食品安全监督管理部门根据监督管理工作需要，可以对由下级人民政府食品安全监督管理部门负责日常监督管理的食品生产经营者实施随机监督检查，也可以组织下级人民政府食品安全监督管理部门对食品生产经营者实施异地监督检查。</w:t>
            </w:r>
          </w:p>
          <w:p w14:paraId="48EE7821">
            <w:pPr>
              <w:numPr>
                <w:ilvl w:val="0"/>
                <w:numId w:val="0"/>
              </w:numPr>
              <w:ind w:leftChars="0"/>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3.《食品生产经营监督检查管理办法》第十七条第二款  食品安全监督管理等部门应当将婴幼儿配方食品等针对特定人群的食品以及其他食品安全风险较高或者销售量大的食品的追溯体系建设作为监督检查的重点。</w:t>
            </w:r>
          </w:p>
        </w:tc>
        <w:tc>
          <w:tcPr>
            <w:tcW w:w="1485" w:type="dxa"/>
            <w:noWrap w:val="0"/>
            <w:vAlign w:val="center"/>
          </w:tcPr>
          <w:p w14:paraId="368D61C3">
            <w:pPr>
              <w:jc w:val="center"/>
              <w:rPr>
                <w:rFonts w:hint="eastAsia" w:ascii="仿宋" w:hAnsi="仿宋" w:eastAsia="仿宋" w:cs="仿宋"/>
                <w:sz w:val="24"/>
                <w:szCs w:val="32"/>
                <w:vertAlign w:val="baseline"/>
                <w:lang w:val="en-US" w:eastAsia="zh-CN"/>
              </w:rPr>
            </w:pPr>
          </w:p>
          <w:p w14:paraId="35D5F01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食品经营</w:t>
            </w:r>
          </w:p>
          <w:p w14:paraId="0B8ED947">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监管科</w:t>
            </w:r>
          </w:p>
        </w:tc>
        <w:tc>
          <w:tcPr>
            <w:tcW w:w="1179" w:type="dxa"/>
            <w:noWrap w:val="0"/>
            <w:vAlign w:val="center"/>
          </w:tcPr>
          <w:p w14:paraId="752EB7E6">
            <w:pPr>
              <w:jc w:val="center"/>
              <w:rPr>
                <w:rFonts w:hint="eastAsia" w:ascii="仿宋" w:hAnsi="仿宋" w:eastAsia="仿宋" w:cs="仿宋"/>
                <w:sz w:val="24"/>
                <w:szCs w:val="32"/>
                <w:vertAlign w:val="baseline"/>
                <w:lang w:val="en-US" w:eastAsia="zh-CN"/>
              </w:rPr>
            </w:pPr>
          </w:p>
          <w:p w14:paraId="3F2CF130">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王健儒</w:t>
            </w:r>
          </w:p>
          <w:p w14:paraId="6BDACEDF">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 xml:space="preserve">穆怀军 </w:t>
            </w:r>
          </w:p>
        </w:tc>
      </w:tr>
      <w:tr w14:paraId="34C0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3" w:hRule="exact"/>
        </w:trPr>
        <w:tc>
          <w:tcPr>
            <w:tcW w:w="996" w:type="dxa"/>
            <w:noWrap w:val="0"/>
            <w:vAlign w:val="center"/>
          </w:tcPr>
          <w:p w14:paraId="2AF09FD5">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37</w:t>
            </w:r>
          </w:p>
        </w:tc>
        <w:tc>
          <w:tcPr>
            <w:tcW w:w="1716" w:type="dxa"/>
            <w:noWrap w:val="0"/>
            <w:vAlign w:val="center"/>
          </w:tcPr>
          <w:p w14:paraId="6C918877">
            <w:pPr>
              <w:jc w:val="center"/>
              <w:rPr>
                <w:rFonts w:hint="eastAsia" w:ascii="仿宋" w:hAnsi="仿宋" w:eastAsia="仿宋" w:cs="仿宋"/>
                <w:sz w:val="24"/>
                <w:szCs w:val="32"/>
                <w:vertAlign w:val="baseline"/>
                <w:lang w:val="en-US" w:eastAsia="zh-CN"/>
              </w:rPr>
            </w:pPr>
          </w:p>
          <w:p w14:paraId="54D41A4B">
            <w:pPr>
              <w:jc w:val="center"/>
              <w:rPr>
                <w:rFonts w:hint="eastAsia" w:ascii="仿宋" w:hAnsi="仿宋" w:eastAsia="仿宋" w:cs="仿宋"/>
                <w:sz w:val="24"/>
                <w:szCs w:val="32"/>
                <w:vertAlign w:val="baseline"/>
                <w:lang w:val="en-US" w:eastAsia="zh-CN"/>
              </w:rPr>
            </w:pPr>
          </w:p>
          <w:p w14:paraId="364C186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对食用农产品销售市场质量安全的行政检查</w:t>
            </w:r>
          </w:p>
        </w:tc>
        <w:tc>
          <w:tcPr>
            <w:tcW w:w="1368" w:type="dxa"/>
            <w:noWrap w:val="0"/>
            <w:vAlign w:val="center"/>
          </w:tcPr>
          <w:p w14:paraId="4E93FCD5">
            <w:pPr>
              <w:jc w:val="center"/>
              <w:rPr>
                <w:rFonts w:hint="eastAsia" w:ascii="仿宋" w:hAnsi="仿宋" w:eastAsia="仿宋" w:cs="仿宋"/>
                <w:sz w:val="24"/>
                <w:szCs w:val="32"/>
                <w:vertAlign w:val="baseline"/>
                <w:lang w:val="en-US" w:eastAsia="zh-CN"/>
              </w:rPr>
            </w:pPr>
          </w:p>
          <w:p w14:paraId="69AF119C">
            <w:pPr>
              <w:jc w:val="center"/>
              <w:rPr>
                <w:rFonts w:hint="eastAsia" w:ascii="仿宋" w:hAnsi="仿宋" w:eastAsia="仿宋" w:cs="仿宋"/>
                <w:sz w:val="24"/>
                <w:szCs w:val="32"/>
                <w:vertAlign w:val="baseline"/>
                <w:lang w:val="en-US" w:eastAsia="zh-CN"/>
              </w:rPr>
            </w:pPr>
          </w:p>
          <w:p w14:paraId="18062ACF">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top"/>
          </w:tcPr>
          <w:p w14:paraId="3A395E9B">
            <w:pPr>
              <w:numPr>
                <w:ilvl w:val="0"/>
                <w:numId w:val="2"/>
              </w:num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《中华人民共和国食品安全法》第一百一十条  县级以上人民政府食品安全监督管理部门履行食品安全监督管理职责，有权采取下列措施，对生产经营者遵守本法的情况进行监督检查：（一）进入生产经营场所实施现场检查；（二）对生产经营的食品、食品添加剂、食品相关产品进行抽样检验；（三）查阅、复制有关合同、票据、账簿以及其他有关资料。</w:t>
            </w:r>
          </w:p>
          <w:p w14:paraId="49EB0562">
            <w:pPr>
              <w:numPr>
                <w:ilvl w:val="0"/>
                <w:numId w:val="2"/>
              </w:numPr>
              <w:ind w:left="0" w:leftChars="0" w:firstLine="0" w:firstLineChars="0"/>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《食用农产品市场销售质量安全监督管理办法》第三条第三款  市、县级市场监督管理部门负责本行政区域食用农产品市场 销售质量安全的监督管理工作</w:t>
            </w:r>
          </w:p>
          <w:p w14:paraId="1E28E69A">
            <w:pPr>
              <w:numPr>
                <w:ilvl w:val="0"/>
                <w:numId w:val="0"/>
              </w:numPr>
              <w:ind w:leftChars="0"/>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3.《食品生产经营监督检查管理办法》第十七条 食品销售环节监督检查要点应当包括食品销售者资质、一般规定执行、禁止性规定执行、经营场所环境卫生、经营过程控制、进货查验、食品贮存、食品召回、温度控制及记录、过期及其他不符合食品安全标准食品处置、标签和说明书、食品安全自查、从业人员管理、食品安全事故处置、进口食品销售、食用农产品销售、网络食品销售等情况。</w:t>
            </w:r>
          </w:p>
        </w:tc>
        <w:tc>
          <w:tcPr>
            <w:tcW w:w="1485" w:type="dxa"/>
            <w:noWrap w:val="0"/>
            <w:vAlign w:val="center"/>
          </w:tcPr>
          <w:p w14:paraId="70DEE65B">
            <w:pPr>
              <w:jc w:val="both"/>
              <w:rPr>
                <w:rFonts w:hint="eastAsia" w:ascii="仿宋" w:hAnsi="仿宋" w:eastAsia="仿宋" w:cs="仿宋"/>
                <w:sz w:val="24"/>
                <w:szCs w:val="32"/>
                <w:vertAlign w:val="baseline"/>
                <w:lang w:val="en-US" w:eastAsia="zh-CN"/>
              </w:rPr>
            </w:pPr>
          </w:p>
          <w:p w14:paraId="5DD6D910">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食品经营</w:t>
            </w:r>
          </w:p>
          <w:p w14:paraId="7AD28C0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监管科</w:t>
            </w:r>
          </w:p>
        </w:tc>
        <w:tc>
          <w:tcPr>
            <w:tcW w:w="1179" w:type="dxa"/>
            <w:noWrap w:val="0"/>
            <w:vAlign w:val="center"/>
          </w:tcPr>
          <w:p w14:paraId="05F80E52">
            <w:pPr>
              <w:jc w:val="both"/>
              <w:rPr>
                <w:rFonts w:hint="eastAsia" w:ascii="仿宋" w:hAnsi="仿宋" w:eastAsia="仿宋" w:cs="仿宋"/>
                <w:sz w:val="24"/>
                <w:szCs w:val="32"/>
                <w:vertAlign w:val="baseline"/>
                <w:lang w:val="en-US" w:eastAsia="zh-CN"/>
              </w:rPr>
            </w:pPr>
          </w:p>
          <w:p w14:paraId="68F32278">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王健儒</w:t>
            </w:r>
          </w:p>
          <w:p w14:paraId="715E10C5">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 xml:space="preserve">穆怀军 </w:t>
            </w:r>
          </w:p>
        </w:tc>
      </w:tr>
      <w:tr w14:paraId="6D70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9" w:hRule="exact"/>
        </w:trPr>
        <w:tc>
          <w:tcPr>
            <w:tcW w:w="996" w:type="dxa"/>
            <w:noWrap w:val="0"/>
            <w:vAlign w:val="center"/>
          </w:tcPr>
          <w:p w14:paraId="00070160">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38</w:t>
            </w:r>
          </w:p>
        </w:tc>
        <w:tc>
          <w:tcPr>
            <w:tcW w:w="1716" w:type="dxa"/>
            <w:noWrap w:val="0"/>
            <w:vAlign w:val="center"/>
          </w:tcPr>
          <w:p w14:paraId="52150CFF">
            <w:pPr>
              <w:jc w:val="both"/>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对餐饮服务环节的行政检查</w:t>
            </w:r>
          </w:p>
        </w:tc>
        <w:tc>
          <w:tcPr>
            <w:tcW w:w="1368" w:type="dxa"/>
            <w:noWrap w:val="0"/>
            <w:vAlign w:val="center"/>
          </w:tcPr>
          <w:p w14:paraId="2CF79D56">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top"/>
          </w:tcPr>
          <w:p w14:paraId="6F85A999">
            <w:pPr>
              <w:numPr>
                <w:ilvl w:val="0"/>
                <w:numId w:val="3"/>
              </w:num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《中华人民共和国食品安全法》第一百一十条  县级以上人民政府食品安全监督管理部门履行食品安全监督管理职责，有权采取下列措施，对生产经营者遵守本法的情况进行监督检查：（一）进入生产经营场所实施现场检查；（二）对生产经营的食品、食品添加剂、食品相关产品进行抽样检验；（三）查阅、复制有关合同、票据、账簿以及其他有关资料。</w:t>
            </w:r>
          </w:p>
          <w:p w14:paraId="57BF31F3">
            <w:pPr>
              <w:numPr>
                <w:ilvl w:val="0"/>
                <w:numId w:val="3"/>
              </w:numPr>
              <w:ind w:left="0" w:leftChars="0" w:firstLine="0" w:firstLineChars="0"/>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《网络餐饮服务食品安全监督管理办法》第三条  县级以上地方市场监督管理部门负责本行政区域内网络餐饮服务食品安全监督管理工作。</w:t>
            </w:r>
          </w:p>
          <w:p w14:paraId="671FD342">
            <w:pPr>
              <w:numPr>
                <w:ilvl w:val="0"/>
                <w:numId w:val="0"/>
              </w:numPr>
              <w:ind w:leftChars="0"/>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3.《食品生产经营监督检查管理办法》第八条 省级市场监督管理部门负责监督指导本行政区域内食品生产经营监督检查工作，重点组织和协调对产品风险高、影响区域广的食品生产经营者的监督检查。第九条 设区的市级（以下简称市级）、县级市场监督管理部门负责本行政区域内食品生产经营监督检查工作。</w:t>
            </w:r>
          </w:p>
        </w:tc>
        <w:tc>
          <w:tcPr>
            <w:tcW w:w="1485" w:type="dxa"/>
            <w:noWrap w:val="0"/>
            <w:vAlign w:val="center"/>
          </w:tcPr>
          <w:p w14:paraId="18FEC4A7">
            <w:pPr>
              <w:jc w:val="both"/>
              <w:rPr>
                <w:rFonts w:hint="eastAsia" w:ascii="仿宋" w:hAnsi="仿宋" w:eastAsia="仿宋" w:cs="仿宋"/>
                <w:sz w:val="24"/>
                <w:szCs w:val="32"/>
                <w:vertAlign w:val="baseline"/>
                <w:lang w:val="en-US" w:eastAsia="zh-CN"/>
              </w:rPr>
            </w:pPr>
          </w:p>
          <w:p w14:paraId="1FFDB390">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食品经营</w:t>
            </w:r>
          </w:p>
          <w:p w14:paraId="58F5B66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监管科</w:t>
            </w:r>
          </w:p>
        </w:tc>
        <w:tc>
          <w:tcPr>
            <w:tcW w:w="1179" w:type="dxa"/>
            <w:noWrap w:val="0"/>
            <w:vAlign w:val="center"/>
          </w:tcPr>
          <w:p w14:paraId="334BE54A">
            <w:pPr>
              <w:jc w:val="both"/>
              <w:rPr>
                <w:rFonts w:hint="eastAsia" w:ascii="仿宋" w:hAnsi="仿宋" w:eastAsia="仿宋" w:cs="仿宋"/>
                <w:sz w:val="24"/>
                <w:szCs w:val="32"/>
                <w:vertAlign w:val="baseline"/>
                <w:lang w:val="en-US" w:eastAsia="zh-CN"/>
              </w:rPr>
            </w:pPr>
          </w:p>
          <w:p w14:paraId="3F5CEFC6">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王健儒</w:t>
            </w:r>
          </w:p>
          <w:p w14:paraId="0909EF8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 xml:space="preserve">穆怀军 </w:t>
            </w:r>
          </w:p>
        </w:tc>
      </w:tr>
      <w:tr w14:paraId="7D5E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1" w:hRule="exact"/>
        </w:trPr>
        <w:tc>
          <w:tcPr>
            <w:tcW w:w="996" w:type="dxa"/>
            <w:noWrap w:val="0"/>
            <w:vAlign w:val="center"/>
          </w:tcPr>
          <w:p w14:paraId="6064A75E">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39</w:t>
            </w:r>
          </w:p>
        </w:tc>
        <w:tc>
          <w:tcPr>
            <w:tcW w:w="1716" w:type="dxa"/>
            <w:noWrap w:val="0"/>
            <w:vAlign w:val="center"/>
          </w:tcPr>
          <w:p w14:paraId="7D79D804">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对药品经营和药品使用单位使用药品等活动的行政检查</w:t>
            </w:r>
          </w:p>
        </w:tc>
        <w:tc>
          <w:tcPr>
            <w:tcW w:w="1368" w:type="dxa"/>
            <w:noWrap w:val="0"/>
            <w:vAlign w:val="center"/>
          </w:tcPr>
          <w:p w14:paraId="37258A0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top"/>
          </w:tcPr>
          <w:p w14:paraId="73CD04E7">
            <w:pPr>
              <w:jc w:val="both"/>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《中华人民共和国药品管理法》第九十九条第一款 药品监督管理部门应当依照法律、法规的规定对药品研制、生产、经营和药品使用单位使用药品等活动进行监督检查，必要时可以对为药品研制、生产、经营、使用提供产品或者服务的单位和个人进行延伸检查，有关单位和个人应当予以配合，不得拒绝和隐瞒。</w:t>
            </w:r>
          </w:p>
          <w:p w14:paraId="108B96CC">
            <w:pPr>
              <w:jc w:val="both"/>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《药品经营和使用质量监督管理办法》第六条第二款 市县级药品监督管理部门负责本行政区域内药品经营和使用质量监督管理，负责药品零售企业的许可、检查和处罚，以及药品使用环节质量的检查和处罚。</w:t>
            </w:r>
          </w:p>
        </w:tc>
        <w:tc>
          <w:tcPr>
            <w:tcW w:w="1485" w:type="dxa"/>
            <w:noWrap w:val="0"/>
            <w:vAlign w:val="top"/>
          </w:tcPr>
          <w:p w14:paraId="16F4149A">
            <w:pPr>
              <w:jc w:val="both"/>
              <w:rPr>
                <w:rFonts w:hint="eastAsia" w:ascii="仿宋" w:hAnsi="仿宋" w:eastAsia="仿宋" w:cs="仿宋"/>
                <w:sz w:val="24"/>
                <w:szCs w:val="32"/>
                <w:vertAlign w:val="baseline"/>
                <w:lang w:val="en-US" w:eastAsia="zh-CN"/>
              </w:rPr>
            </w:pPr>
          </w:p>
          <w:p w14:paraId="64D3E0C3">
            <w:pPr>
              <w:jc w:val="both"/>
              <w:rPr>
                <w:rFonts w:hint="eastAsia" w:ascii="仿宋" w:hAnsi="仿宋" w:eastAsia="仿宋" w:cs="仿宋"/>
                <w:sz w:val="24"/>
                <w:szCs w:val="32"/>
                <w:vertAlign w:val="baseline"/>
                <w:lang w:val="en-US" w:eastAsia="zh-CN"/>
              </w:rPr>
            </w:pPr>
          </w:p>
          <w:p w14:paraId="11B65E17">
            <w:pPr>
              <w:jc w:val="both"/>
              <w:rPr>
                <w:rFonts w:hint="eastAsia" w:ascii="仿宋" w:hAnsi="仿宋" w:eastAsia="仿宋" w:cs="仿宋"/>
                <w:sz w:val="24"/>
                <w:szCs w:val="32"/>
                <w:vertAlign w:val="baseline"/>
                <w:lang w:val="en-US" w:eastAsia="zh-CN"/>
              </w:rPr>
            </w:pPr>
          </w:p>
          <w:p w14:paraId="6601107D">
            <w:pPr>
              <w:jc w:val="both"/>
              <w:rPr>
                <w:rFonts w:hint="eastAsia" w:ascii="仿宋" w:hAnsi="仿宋" w:eastAsia="仿宋" w:cs="仿宋"/>
                <w:sz w:val="24"/>
                <w:szCs w:val="32"/>
                <w:vertAlign w:val="baseline"/>
                <w:lang w:val="en-US" w:eastAsia="zh-CN"/>
              </w:rPr>
            </w:pPr>
          </w:p>
          <w:p w14:paraId="56417DC8">
            <w:pPr>
              <w:jc w:val="both"/>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药品监管科</w:t>
            </w:r>
          </w:p>
        </w:tc>
        <w:tc>
          <w:tcPr>
            <w:tcW w:w="1179" w:type="dxa"/>
            <w:noWrap w:val="0"/>
            <w:vAlign w:val="top"/>
          </w:tcPr>
          <w:p w14:paraId="208CECC9">
            <w:pPr>
              <w:jc w:val="both"/>
              <w:rPr>
                <w:rFonts w:hint="eastAsia" w:ascii="仿宋" w:hAnsi="仿宋" w:eastAsia="仿宋" w:cs="仿宋"/>
                <w:sz w:val="24"/>
                <w:szCs w:val="32"/>
                <w:vertAlign w:val="baseline"/>
                <w:lang w:val="en-US" w:eastAsia="zh-CN"/>
              </w:rPr>
            </w:pPr>
          </w:p>
          <w:p w14:paraId="636BD306">
            <w:pPr>
              <w:jc w:val="both"/>
              <w:rPr>
                <w:rFonts w:hint="eastAsia" w:ascii="仿宋" w:hAnsi="仿宋" w:eastAsia="仿宋" w:cs="仿宋"/>
                <w:sz w:val="24"/>
                <w:szCs w:val="32"/>
                <w:vertAlign w:val="baseline"/>
                <w:lang w:val="en-US" w:eastAsia="zh-CN"/>
              </w:rPr>
            </w:pPr>
          </w:p>
          <w:p w14:paraId="629F8E24">
            <w:pPr>
              <w:jc w:val="both"/>
              <w:rPr>
                <w:rFonts w:hint="eastAsia" w:ascii="仿宋" w:hAnsi="仿宋" w:eastAsia="仿宋" w:cs="仿宋"/>
                <w:sz w:val="24"/>
                <w:szCs w:val="32"/>
                <w:vertAlign w:val="baseline"/>
                <w:lang w:val="en-US" w:eastAsia="zh-CN"/>
              </w:rPr>
            </w:pPr>
          </w:p>
          <w:p w14:paraId="1E01F89F">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崔荣庆</w:t>
            </w:r>
          </w:p>
          <w:p w14:paraId="4E52B65D">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杨  军</w:t>
            </w:r>
          </w:p>
        </w:tc>
      </w:tr>
      <w:tr w14:paraId="7A9D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1" w:hRule="exact"/>
        </w:trPr>
        <w:tc>
          <w:tcPr>
            <w:tcW w:w="996" w:type="dxa"/>
            <w:noWrap w:val="0"/>
            <w:vAlign w:val="center"/>
          </w:tcPr>
          <w:p w14:paraId="3C730C1A">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40</w:t>
            </w:r>
          </w:p>
        </w:tc>
        <w:tc>
          <w:tcPr>
            <w:tcW w:w="1716" w:type="dxa"/>
            <w:noWrap w:val="0"/>
            <w:vAlign w:val="center"/>
          </w:tcPr>
          <w:p w14:paraId="6038B06C">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对药品经营企业遵守药品经营质量管理规范等情况的行政检查</w:t>
            </w:r>
          </w:p>
        </w:tc>
        <w:tc>
          <w:tcPr>
            <w:tcW w:w="1368" w:type="dxa"/>
            <w:noWrap w:val="0"/>
            <w:vAlign w:val="top"/>
          </w:tcPr>
          <w:p w14:paraId="5399A1B4">
            <w:pPr>
              <w:jc w:val="both"/>
              <w:rPr>
                <w:rFonts w:hint="eastAsia" w:ascii="仿宋" w:hAnsi="仿宋" w:eastAsia="仿宋" w:cs="仿宋"/>
                <w:sz w:val="24"/>
                <w:szCs w:val="32"/>
                <w:vertAlign w:val="baseline"/>
                <w:lang w:val="en-US" w:eastAsia="zh-CN"/>
              </w:rPr>
            </w:pPr>
          </w:p>
          <w:p w14:paraId="1DCE2D23">
            <w:pPr>
              <w:jc w:val="both"/>
              <w:rPr>
                <w:rFonts w:hint="eastAsia" w:ascii="仿宋" w:hAnsi="仿宋" w:eastAsia="仿宋" w:cs="仿宋"/>
                <w:sz w:val="24"/>
                <w:szCs w:val="32"/>
                <w:vertAlign w:val="baseline"/>
                <w:lang w:val="en-US" w:eastAsia="zh-CN"/>
              </w:rPr>
            </w:pPr>
          </w:p>
          <w:p w14:paraId="015E79DF">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top"/>
          </w:tcPr>
          <w:p w14:paraId="15C43B15">
            <w:pPr>
              <w:jc w:val="both"/>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《中华人民共和国药品管理法》第一百零三条 药品监督管理部门应当对药品上市许可持有人、药品生产企业、药品经营企业和药物非临床安全性评价研究机构、药物临床试验机构等遵守药品生产质量管理规范、药品经营质量管理规范、药物非临床研究质量管理规范、药物临床试验质量管理规范等情况进行检查，监督其持续符合法定要求。</w:t>
            </w:r>
          </w:p>
        </w:tc>
        <w:tc>
          <w:tcPr>
            <w:tcW w:w="1485" w:type="dxa"/>
            <w:noWrap w:val="0"/>
            <w:vAlign w:val="top"/>
          </w:tcPr>
          <w:p w14:paraId="18FB1228">
            <w:pPr>
              <w:jc w:val="both"/>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 xml:space="preserve"> </w:t>
            </w:r>
          </w:p>
          <w:p w14:paraId="39EAF930">
            <w:pPr>
              <w:jc w:val="both"/>
              <w:rPr>
                <w:rFonts w:hint="eastAsia" w:ascii="仿宋" w:hAnsi="仿宋" w:eastAsia="仿宋" w:cs="仿宋"/>
                <w:sz w:val="24"/>
                <w:szCs w:val="32"/>
                <w:vertAlign w:val="baseline"/>
                <w:lang w:val="en-US" w:eastAsia="zh-CN"/>
              </w:rPr>
            </w:pPr>
          </w:p>
          <w:p w14:paraId="2CB9F7A4">
            <w:pPr>
              <w:jc w:val="both"/>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药品监管科</w:t>
            </w:r>
          </w:p>
        </w:tc>
        <w:tc>
          <w:tcPr>
            <w:tcW w:w="1179" w:type="dxa"/>
            <w:noWrap w:val="0"/>
            <w:vAlign w:val="top"/>
          </w:tcPr>
          <w:p w14:paraId="1746858B">
            <w:pPr>
              <w:jc w:val="both"/>
              <w:rPr>
                <w:rFonts w:hint="eastAsia" w:ascii="仿宋" w:hAnsi="仿宋" w:eastAsia="仿宋" w:cs="仿宋"/>
                <w:sz w:val="24"/>
                <w:szCs w:val="32"/>
                <w:vertAlign w:val="baseline"/>
                <w:lang w:val="en-US" w:eastAsia="zh-CN"/>
              </w:rPr>
            </w:pPr>
          </w:p>
          <w:p w14:paraId="0522468A">
            <w:pPr>
              <w:jc w:val="both"/>
              <w:rPr>
                <w:rFonts w:hint="eastAsia" w:ascii="仿宋" w:hAnsi="仿宋" w:eastAsia="仿宋" w:cs="仿宋"/>
                <w:sz w:val="24"/>
                <w:szCs w:val="32"/>
                <w:vertAlign w:val="baseline"/>
                <w:lang w:val="en-US" w:eastAsia="zh-CN"/>
              </w:rPr>
            </w:pPr>
          </w:p>
          <w:p w14:paraId="5F4D9567">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崔荣庆</w:t>
            </w:r>
          </w:p>
          <w:p w14:paraId="4B575055">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杨  军</w:t>
            </w:r>
          </w:p>
        </w:tc>
      </w:tr>
      <w:tr w14:paraId="4379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exact"/>
        </w:trPr>
        <w:tc>
          <w:tcPr>
            <w:tcW w:w="996" w:type="dxa"/>
            <w:noWrap w:val="0"/>
            <w:vAlign w:val="center"/>
          </w:tcPr>
          <w:p w14:paraId="471E7E84">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41</w:t>
            </w:r>
          </w:p>
        </w:tc>
        <w:tc>
          <w:tcPr>
            <w:tcW w:w="1716" w:type="dxa"/>
            <w:noWrap w:val="0"/>
            <w:vAlign w:val="center"/>
          </w:tcPr>
          <w:p w14:paraId="6933879E">
            <w:pPr>
              <w:jc w:val="both"/>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对药品零售企业网络销售药品的监督管理</w:t>
            </w:r>
          </w:p>
        </w:tc>
        <w:tc>
          <w:tcPr>
            <w:tcW w:w="1368" w:type="dxa"/>
            <w:noWrap w:val="0"/>
            <w:vAlign w:val="center"/>
          </w:tcPr>
          <w:p w14:paraId="757023A6">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top"/>
          </w:tcPr>
          <w:p w14:paraId="37A7433A">
            <w:pPr>
              <w:jc w:val="both"/>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《药品网络销售监督管理办法》第三条第三款 设区的市级、县级承担药品监督管理职责的部门（以下称药品监督管理部门）负责本行政区域内药品网络销售的监督管理工作，负责监督管理药品零售企业通过网络销售药品的活动。</w:t>
            </w:r>
          </w:p>
        </w:tc>
        <w:tc>
          <w:tcPr>
            <w:tcW w:w="1485" w:type="dxa"/>
            <w:noWrap w:val="0"/>
            <w:vAlign w:val="center"/>
          </w:tcPr>
          <w:p w14:paraId="27B5C5F8">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药品监管科</w:t>
            </w:r>
          </w:p>
        </w:tc>
        <w:tc>
          <w:tcPr>
            <w:tcW w:w="1179" w:type="dxa"/>
            <w:noWrap w:val="0"/>
            <w:vAlign w:val="center"/>
          </w:tcPr>
          <w:p w14:paraId="09D0393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崔荣庆</w:t>
            </w:r>
          </w:p>
          <w:p w14:paraId="245731AF">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杨  军</w:t>
            </w:r>
          </w:p>
        </w:tc>
      </w:tr>
      <w:tr w14:paraId="6F68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exact"/>
        </w:trPr>
        <w:tc>
          <w:tcPr>
            <w:tcW w:w="996" w:type="dxa"/>
            <w:noWrap w:val="0"/>
            <w:vAlign w:val="center"/>
          </w:tcPr>
          <w:p w14:paraId="60C8827B">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42</w:t>
            </w:r>
          </w:p>
        </w:tc>
        <w:tc>
          <w:tcPr>
            <w:tcW w:w="1716" w:type="dxa"/>
            <w:noWrap w:val="0"/>
            <w:vAlign w:val="center"/>
          </w:tcPr>
          <w:p w14:paraId="0BD8486E">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对疫苗储存、运输以及预防接种中的疫苗质量的行政检查</w:t>
            </w:r>
          </w:p>
        </w:tc>
        <w:tc>
          <w:tcPr>
            <w:tcW w:w="1368" w:type="dxa"/>
            <w:noWrap w:val="0"/>
            <w:vAlign w:val="center"/>
          </w:tcPr>
          <w:p w14:paraId="4B730FBF">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4CB46438">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《中华人民共和国疫苗管理法》第八条 设区的市级、县级人民政府承担药品监督管理职责的部门（以下称药品监督管理部门）负责本行政区域疫苗监督管理工作。</w:t>
            </w:r>
          </w:p>
        </w:tc>
        <w:tc>
          <w:tcPr>
            <w:tcW w:w="1485" w:type="dxa"/>
            <w:noWrap w:val="0"/>
            <w:vAlign w:val="center"/>
          </w:tcPr>
          <w:p w14:paraId="7F0BAA5A">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药品监管科</w:t>
            </w:r>
          </w:p>
        </w:tc>
        <w:tc>
          <w:tcPr>
            <w:tcW w:w="1179" w:type="dxa"/>
            <w:noWrap w:val="0"/>
            <w:vAlign w:val="center"/>
          </w:tcPr>
          <w:p w14:paraId="3E0355C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崔荣庆</w:t>
            </w:r>
          </w:p>
          <w:p w14:paraId="75DC0EC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杨  军</w:t>
            </w:r>
          </w:p>
        </w:tc>
      </w:tr>
      <w:tr w14:paraId="4AEC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9" w:hRule="exact"/>
        </w:trPr>
        <w:tc>
          <w:tcPr>
            <w:tcW w:w="996" w:type="dxa"/>
            <w:noWrap w:val="0"/>
            <w:vAlign w:val="center"/>
          </w:tcPr>
          <w:p w14:paraId="51A56512">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43</w:t>
            </w:r>
          </w:p>
        </w:tc>
        <w:tc>
          <w:tcPr>
            <w:tcW w:w="1716" w:type="dxa"/>
            <w:noWrap w:val="0"/>
            <w:vAlign w:val="center"/>
          </w:tcPr>
          <w:p w14:paraId="3E9C3DB7">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对医疗器械的生产、经营活动以及使用环节的医疗器械质量的行政检查</w:t>
            </w:r>
          </w:p>
        </w:tc>
        <w:tc>
          <w:tcPr>
            <w:tcW w:w="1368" w:type="dxa"/>
            <w:noWrap w:val="0"/>
            <w:vAlign w:val="center"/>
          </w:tcPr>
          <w:p w14:paraId="3DDE89A4">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533D0A97">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《医疗器械监督管理条例》第六十九条 负责药品监督管理的部门应当对医疗器械的研制、生产、经营活动以及使用环节的医疗器械质量加强监督检查，并对下列事项进行重点监督检查：（二）质量管理体系是否保持有效运行；（三）生产经营条件是否持续符合法定要求。必要时，负责药品监督管理的部门可以对为医疗器械研制、生产、经营、使用等活动提供产品或者服务的其他相关单位和个人进行延伸检查。</w:t>
            </w:r>
          </w:p>
        </w:tc>
        <w:tc>
          <w:tcPr>
            <w:tcW w:w="1485" w:type="dxa"/>
            <w:noWrap w:val="0"/>
            <w:vAlign w:val="center"/>
          </w:tcPr>
          <w:p w14:paraId="70559B49">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药品监管科</w:t>
            </w:r>
          </w:p>
        </w:tc>
        <w:tc>
          <w:tcPr>
            <w:tcW w:w="1179" w:type="dxa"/>
            <w:noWrap w:val="0"/>
            <w:vAlign w:val="center"/>
          </w:tcPr>
          <w:p w14:paraId="08561D60">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崔荣庆</w:t>
            </w:r>
          </w:p>
          <w:p w14:paraId="1B4F143B">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 xml:space="preserve">杨  军 </w:t>
            </w:r>
          </w:p>
        </w:tc>
      </w:tr>
      <w:tr w14:paraId="2798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exact"/>
        </w:trPr>
        <w:tc>
          <w:tcPr>
            <w:tcW w:w="996" w:type="dxa"/>
            <w:noWrap w:val="0"/>
            <w:vAlign w:val="center"/>
          </w:tcPr>
          <w:p w14:paraId="7231ECAD">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44</w:t>
            </w:r>
          </w:p>
        </w:tc>
        <w:tc>
          <w:tcPr>
            <w:tcW w:w="1716" w:type="dxa"/>
            <w:noWrap w:val="0"/>
            <w:vAlign w:val="center"/>
          </w:tcPr>
          <w:p w14:paraId="26CAE0F0">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对从事医疗器械网络销售的企业的行政检查</w:t>
            </w:r>
          </w:p>
        </w:tc>
        <w:tc>
          <w:tcPr>
            <w:tcW w:w="1368" w:type="dxa"/>
            <w:noWrap w:val="0"/>
            <w:vAlign w:val="center"/>
          </w:tcPr>
          <w:p w14:paraId="28B8964A">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2B3D7A0F">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《医疗器械网络销售监督管理办法》第二十五条 食品药品监督管理部门依照法律、法规、规章的规定，依职权对从事医疗器械网络销售的企业和医疗器械网络交易服务第三方平台实施监督检查和抽样检验。</w:t>
            </w:r>
          </w:p>
        </w:tc>
        <w:tc>
          <w:tcPr>
            <w:tcW w:w="1485" w:type="dxa"/>
            <w:noWrap w:val="0"/>
            <w:vAlign w:val="center"/>
          </w:tcPr>
          <w:p w14:paraId="74F0B27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药品监管科</w:t>
            </w:r>
          </w:p>
        </w:tc>
        <w:tc>
          <w:tcPr>
            <w:tcW w:w="1179" w:type="dxa"/>
            <w:noWrap w:val="0"/>
            <w:vAlign w:val="center"/>
          </w:tcPr>
          <w:p w14:paraId="1ED874D8">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崔荣庆</w:t>
            </w:r>
          </w:p>
          <w:p w14:paraId="24E2E47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 xml:space="preserve">杨  军 </w:t>
            </w:r>
          </w:p>
        </w:tc>
      </w:tr>
      <w:tr w14:paraId="647D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5" w:hRule="exact"/>
        </w:trPr>
        <w:tc>
          <w:tcPr>
            <w:tcW w:w="996" w:type="dxa"/>
            <w:noWrap w:val="0"/>
            <w:vAlign w:val="center"/>
          </w:tcPr>
          <w:p w14:paraId="36F1B272">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45</w:t>
            </w:r>
          </w:p>
        </w:tc>
        <w:tc>
          <w:tcPr>
            <w:tcW w:w="1716" w:type="dxa"/>
            <w:noWrap w:val="0"/>
            <w:vAlign w:val="center"/>
          </w:tcPr>
          <w:p w14:paraId="1B71F92C">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对化妆品生产经营者的行政检查</w:t>
            </w:r>
          </w:p>
        </w:tc>
        <w:tc>
          <w:tcPr>
            <w:tcW w:w="1368" w:type="dxa"/>
            <w:noWrap w:val="0"/>
            <w:vAlign w:val="center"/>
          </w:tcPr>
          <w:p w14:paraId="1E970482">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1E9384BF">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1.《化妆品监督管理条例》第五条第二款 县级以上地方人民政府负责药品监督管理的部门负责本行政区域的化妆品监督管理工作。县级以上地方人民政府有关部门在各自职责范围内负责与化妆品有关的监督管理工作。</w:t>
            </w:r>
          </w:p>
          <w:p w14:paraId="5AF8CC64">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2.《化妆品生产经营监督管理办法》第五十条 负责药品监督管理的部门应当按照风险管理的原则，确定监督检查的重点品种、重点环节、检查方式和检查频次等，加强对化妆品生产经营者的监督检查。必要时，负责药品监督管理的部门可以对化妆品原料、直接接触化妆品的包装材料的供应商、生产企业开展延伸检查。</w:t>
            </w:r>
          </w:p>
        </w:tc>
        <w:tc>
          <w:tcPr>
            <w:tcW w:w="1485" w:type="dxa"/>
            <w:noWrap w:val="0"/>
            <w:vAlign w:val="center"/>
          </w:tcPr>
          <w:p w14:paraId="7C33AAA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药品监管科</w:t>
            </w:r>
          </w:p>
        </w:tc>
        <w:tc>
          <w:tcPr>
            <w:tcW w:w="1179" w:type="dxa"/>
            <w:noWrap w:val="0"/>
            <w:vAlign w:val="center"/>
          </w:tcPr>
          <w:p w14:paraId="310189C6">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崔荣庆</w:t>
            </w:r>
          </w:p>
          <w:p w14:paraId="6875F59E">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 xml:space="preserve">杨  军 </w:t>
            </w:r>
          </w:p>
        </w:tc>
      </w:tr>
      <w:tr w14:paraId="078A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exact"/>
        </w:trPr>
        <w:tc>
          <w:tcPr>
            <w:tcW w:w="996" w:type="dxa"/>
            <w:noWrap w:val="0"/>
            <w:vAlign w:val="center"/>
          </w:tcPr>
          <w:p w14:paraId="4774A2D6">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46</w:t>
            </w:r>
          </w:p>
        </w:tc>
        <w:tc>
          <w:tcPr>
            <w:tcW w:w="1716" w:type="dxa"/>
            <w:noWrap w:val="0"/>
            <w:vAlign w:val="center"/>
          </w:tcPr>
          <w:p w14:paraId="78DEFB6C">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对登记注册事项的监督检查</w:t>
            </w:r>
          </w:p>
        </w:tc>
        <w:tc>
          <w:tcPr>
            <w:tcW w:w="1368" w:type="dxa"/>
            <w:noWrap w:val="0"/>
            <w:vAlign w:val="center"/>
          </w:tcPr>
          <w:p w14:paraId="2E79A5B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46537A72">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《市场主体登记管理条例》第三十八条：登记机关应当根据市场主体的信用风险状况实施分级分类监管。</w:t>
            </w:r>
          </w:p>
          <w:p w14:paraId="5DE00635">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登记机关应当采取随机抽取检查对象、随机选派执法检查人员的方式，对市场主体登记事项进行监督检查，并及时向社会公开监督检查结果。</w:t>
            </w:r>
          </w:p>
        </w:tc>
        <w:tc>
          <w:tcPr>
            <w:tcW w:w="1485" w:type="dxa"/>
            <w:noWrap w:val="0"/>
            <w:vAlign w:val="center"/>
          </w:tcPr>
          <w:p w14:paraId="04263B68">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信用监管科</w:t>
            </w:r>
          </w:p>
        </w:tc>
        <w:tc>
          <w:tcPr>
            <w:tcW w:w="1179" w:type="dxa"/>
            <w:noWrap w:val="0"/>
            <w:vAlign w:val="center"/>
          </w:tcPr>
          <w:p w14:paraId="48D6901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杨  浩</w:t>
            </w:r>
          </w:p>
          <w:p w14:paraId="0656B2B0">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石增良</w:t>
            </w:r>
          </w:p>
          <w:p w14:paraId="52235A2C">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胡丰宝</w:t>
            </w:r>
          </w:p>
        </w:tc>
      </w:tr>
      <w:tr w14:paraId="3556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exact"/>
        </w:trPr>
        <w:tc>
          <w:tcPr>
            <w:tcW w:w="996" w:type="dxa"/>
            <w:noWrap w:val="0"/>
            <w:vAlign w:val="center"/>
          </w:tcPr>
          <w:p w14:paraId="01C4906A">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47</w:t>
            </w:r>
          </w:p>
        </w:tc>
        <w:tc>
          <w:tcPr>
            <w:tcW w:w="1716" w:type="dxa"/>
            <w:noWrap w:val="0"/>
            <w:vAlign w:val="center"/>
          </w:tcPr>
          <w:p w14:paraId="4A010A7A">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对公示信息的监督检查</w:t>
            </w:r>
          </w:p>
        </w:tc>
        <w:tc>
          <w:tcPr>
            <w:tcW w:w="1368" w:type="dxa"/>
            <w:noWrap w:val="0"/>
            <w:vAlign w:val="center"/>
          </w:tcPr>
          <w:p w14:paraId="7CB11A12">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noWrap w:val="0"/>
            <w:vAlign w:val="center"/>
          </w:tcPr>
          <w:p w14:paraId="35F6296E">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企业信息公示暂行条例》第十四条：国务院工商行政管理部门和省、自治区、直辖市人民政府工商行政管理部门应当按照公平规范的要求，根据企业注册号等随机摇号，确定抽查的企业，组织对企业公示信息的情况进行检查。</w:t>
            </w:r>
          </w:p>
        </w:tc>
        <w:tc>
          <w:tcPr>
            <w:tcW w:w="1485" w:type="dxa"/>
            <w:noWrap w:val="0"/>
            <w:vAlign w:val="center"/>
          </w:tcPr>
          <w:p w14:paraId="64C4D4B9">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信用监管科</w:t>
            </w:r>
          </w:p>
        </w:tc>
        <w:tc>
          <w:tcPr>
            <w:tcW w:w="1179" w:type="dxa"/>
            <w:noWrap w:val="0"/>
            <w:vAlign w:val="center"/>
          </w:tcPr>
          <w:p w14:paraId="55DEF820">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杨  浩</w:t>
            </w:r>
          </w:p>
          <w:p w14:paraId="19B97EC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石增良</w:t>
            </w:r>
          </w:p>
          <w:p w14:paraId="0112240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胡丰宝</w:t>
            </w:r>
          </w:p>
        </w:tc>
      </w:tr>
      <w:tr w14:paraId="1761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1" w:hRule="exact"/>
        </w:trPr>
        <w:tc>
          <w:tcPr>
            <w:tcW w:w="996" w:type="dxa"/>
            <w:tcBorders>
              <w:bottom w:val="single" w:color="auto" w:sz="4" w:space="0"/>
            </w:tcBorders>
            <w:noWrap w:val="0"/>
            <w:vAlign w:val="center"/>
          </w:tcPr>
          <w:p w14:paraId="3E75A030">
            <w:pPr>
              <w:jc w:val="center"/>
              <w:rPr>
                <w:rFonts w:hint="default"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48</w:t>
            </w:r>
          </w:p>
        </w:tc>
        <w:tc>
          <w:tcPr>
            <w:tcW w:w="1716" w:type="dxa"/>
            <w:tcBorders>
              <w:bottom w:val="single" w:color="auto" w:sz="4" w:space="0"/>
            </w:tcBorders>
            <w:noWrap w:val="0"/>
            <w:vAlign w:val="center"/>
          </w:tcPr>
          <w:p w14:paraId="58BA66F3">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对无照经营行为的监督检查</w:t>
            </w:r>
          </w:p>
        </w:tc>
        <w:tc>
          <w:tcPr>
            <w:tcW w:w="1368" w:type="dxa"/>
            <w:tcBorders>
              <w:bottom w:val="single" w:color="auto" w:sz="4" w:space="0"/>
            </w:tcBorders>
            <w:noWrap w:val="0"/>
            <w:vAlign w:val="center"/>
          </w:tcPr>
          <w:p w14:paraId="502BC1A9">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行政检查</w:t>
            </w:r>
          </w:p>
        </w:tc>
        <w:tc>
          <w:tcPr>
            <w:tcW w:w="7980" w:type="dxa"/>
            <w:tcBorders>
              <w:bottom w:val="single" w:color="auto" w:sz="4" w:space="0"/>
            </w:tcBorders>
            <w:noWrap w:val="0"/>
            <w:vAlign w:val="center"/>
          </w:tcPr>
          <w:p w14:paraId="380369AF">
            <w:pPr>
              <w:jc w:val="left"/>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《无证无照经营查处办法》第六条：经营者未依法取得营业执照从事经营活动的，由履行工商行政管理职责的部门(以下称工商行政管理部门)予以查处。</w:t>
            </w:r>
          </w:p>
        </w:tc>
        <w:tc>
          <w:tcPr>
            <w:tcW w:w="1485" w:type="dxa"/>
            <w:tcBorders>
              <w:bottom w:val="single" w:color="auto" w:sz="4" w:space="0"/>
            </w:tcBorders>
            <w:noWrap w:val="0"/>
            <w:vAlign w:val="center"/>
          </w:tcPr>
          <w:p w14:paraId="0E7E6C0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信用监管科</w:t>
            </w:r>
          </w:p>
        </w:tc>
        <w:tc>
          <w:tcPr>
            <w:tcW w:w="1179" w:type="dxa"/>
            <w:tcBorders>
              <w:bottom w:val="single" w:color="auto" w:sz="4" w:space="0"/>
            </w:tcBorders>
            <w:noWrap w:val="0"/>
            <w:vAlign w:val="center"/>
          </w:tcPr>
          <w:p w14:paraId="61BDA8E1">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杨  浩</w:t>
            </w:r>
          </w:p>
          <w:p w14:paraId="49C018C9">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石增良</w:t>
            </w:r>
          </w:p>
          <w:p w14:paraId="215408DD">
            <w:pPr>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胡丰宝</w:t>
            </w:r>
          </w:p>
        </w:tc>
      </w:tr>
      <w:tr w14:paraId="2747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1" w:hRule="exact"/>
        </w:trPr>
        <w:tc>
          <w:tcPr>
            <w:tcW w:w="996" w:type="dxa"/>
            <w:tcBorders>
              <w:top w:val="single" w:color="auto" w:sz="4" w:space="0"/>
              <w:left w:val="nil"/>
              <w:bottom w:val="single" w:color="auto" w:sz="4" w:space="0"/>
              <w:right w:val="nil"/>
            </w:tcBorders>
            <w:noWrap w:val="0"/>
            <w:vAlign w:val="center"/>
          </w:tcPr>
          <w:p w14:paraId="2F254531">
            <w:pPr>
              <w:jc w:val="center"/>
              <w:rPr>
                <w:rFonts w:hint="eastAsia" w:ascii="仿宋" w:hAnsi="仿宋" w:eastAsia="仿宋" w:cs="仿宋"/>
                <w:sz w:val="24"/>
                <w:szCs w:val="32"/>
                <w:vertAlign w:val="baseline"/>
                <w:lang w:val="en-US" w:eastAsia="zh-CN"/>
              </w:rPr>
            </w:pPr>
          </w:p>
        </w:tc>
        <w:tc>
          <w:tcPr>
            <w:tcW w:w="1716" w:type="dxa"/>
            <w:tcBorders>
              <w:top w:val="single" w:color="auto" w:sz="4" w:space="0"/>
              <w:left w:val="nil"/>
              <w:bottom w:val="single" w:color="auto" w:sz="4" w:space="0"/>
              <w:right w:val="nil"/>
            </w:tcBorders>
            <w:noWrap w:val="0"/>
            <w:vAlign w:val="center"/>
          </w:tcPr>
          <w:p w14:paraId="0F9B9E3B">
            <w:pPr>
              <w:jc w:val="center"/>
              <w:rPr>
                <w:rFonts w:hint="eastAsia" w:ascii="仿宋" w:hAnsi="仿宋" w:eastAsia="仿宋" w:cs="仿宋"/>
                <w:sz w:val="24"/>
                <w:szCs w:val="32"/>
                <w:vertAlign w:val="baseline"/>
                <w:lang w:val="en-US" w:eastAsia="zh-CN"/>
              </w:rPr>
            </w:pPr>
          </w:p>
        </w:tc>
        <w:tc>
          <w:tcPr>
            <w:tcW w:w="1368" w:type="dxa"/>
            <w:tcBorders>
              <w:top w:val="single" w:color="auto" w:sz="4" w:space="0"/>
              <w:left w:val="nil"/>
              <w:bottom w:val="single" w:color="auto" w:sz="4" w:space="0"/>
              <w:right w:val="nil"/>
            </w:tcBorders>
            <w:noWrap w:val="0"/>
            <w:vAlign w:val="center"/>
          </w:tcPr>
          <w:p w14:paraId="5EAF270C">
            <w:pPr>
              <w:jc w:val="center"/>
              <w:rPr>
                <w:rFonts w:hint="eastAsia" w:ascii="仿宋" w:hAnsi="仿宋" w:eastAsia="仿宋" w:cs="仿宋"/>
                <w:sz w:val="24"/>
                <w:szCs w:val="32"/>
                <w:vertAlign w:val="baseline"/>
                <w:lang w:val="en-US" w:eastAsia="zh-CN"/>
              </w:rPr>
            </w:pPr>
          </w:p>
        </w:tc>
        <w:tc>
          <w:tcPr>
            <w:tcW w:w="7980" w:type="dxa"/>
            <w:tcBorders>
              <w:top w:val="single" w:color="auto" w:sz="4" w:space="0"/>
              <w:left w:val="nil"/>
              <w:bottom w:val="single" w:color="auto" w:sz="4" w:space="0"/>
              <w:right w:val="nil"/>
            </w:tcBorders>
            <w:noWrap w:val="0"/>
            <w:vAlign w:val="center"/>
          </w:tcPr>
          <w:p w14:paraId="2040AC47">
            <w:pPr>
              <w:jc w:val="left"/>
              <w:rPr>
                <w:rFonts w:hint="eastAsia" w:ascii="仿宋" w:hAnsi="仿宋" w:eastAsia="仿宋" w:cs="仿宋"/>
                <w:sz w:val="24"/>
                <w:szCs w:val="32"/>
                <w:vertAlign w:val="baseline"/>
                <w:lang w:val="en-US" w:eastAsia="zh-CN"/>
              </w:rPr>
            </w:pPr>
          </w:p>
          <w:p w14:paraId="0FCC7483">
            <w:pPr>
              <w:jc w:val="left"/>
              <w:rPr>
                <w:rFonts w:hint="eastAsia" w:ascii="仿宋" w:hAnsi="仿宋" w:eastAsia="仿宋" w:cs="仿宋"/>
                <w:sz w:val="24"/>
                <w:szCs w:val="32"/>
                <w:vertAlign w:val="baseline"/>
                <w:lang w:val="en-US" w:eastAsia="zh-CN"/>
              </w:rPr>
            </w:pPr>
          </w:p>
          <w:p w14:paraId="6DEC78DA">
            <w:pPr>
              <w:jc w:val="left"/>
              <w:rPr>
                <w:rFonts w:hint="eastAsia" w:ascii="仿宋" w:hAnsi="仿宋" w:eastAsia="仿宋" w:cs="仿宋"/>
                <w:sz w:val="24"/>
                <w:szCs w:val="32"/>
                <w:vertAlign w:val="baseline"/>
                <w:lang w:val="en-US" w:eastAsia="zh-CN"/>
              </w:rPr>
            </w:pPr>
          </w:p>
          <w:p w14:paraId="64C5DEF2">
            <w:pPr>
              <w:jc w:val="left"/>
              <w:rPr>
                <w:rFonts w:hint="eastAsia" w:ascii="仿宋" w:hAnsi="仿宋" w:eastAsia="仿宋" w:cs="仿宋"/>
                <w:sz w:val="24"/>
                <w:szCs w:val="32"/>
                <w:vertAlign w:val="baseline"/>
                <w:lang w:val="en-US" w:eastAsia="zh-CN"/>
              </w:rPr>
            </w:pPr>
          </w:p>
          <w:p w14:paraId="67F1E2FE">
            <w:pPr>
              <w:jc w:val="left"/>
              <w:rPr>
                <w:rFonts w:hint="eastAsia" w:ascii="仿宋" w:hAnsi="仿宋" w:eastAsia="仿宋" w:cs="仿宋"/>
                <w:sz w:val="24"/>
                <w:szCs w:val="32"/>
                <w:vertAlign w:val="baseline"/>
                <w:lang w:val="en-US" w:eastAsia="zh-CN"/>
              </w:rPr>
            </w:pPr>
          </w:p>
          <w:p w14:paraId="2C7CF5AF">
            <w:pPr>
              <w:jc w:val="left"/>
              <w:rPr>
                <w:rFonts w:hint="eastAsia" w:ascii="仿宋" w:hAnsi="仿宋" w:eastAsia="仿宋" w:cs="仿宋"/>
                <w:sz w:val="24"/>
                <w:szCs w:val="32"/>
                <w:vertAlign w:val="baseline"/>
                <w:lang w:val="en-US" w:eastAsia="zh-CN"/>
              </w:rPr>
            </w:pPr>
          </w:p>
          <w:p w14:paraId="04EA0769">
            <w:pPr>
              <w:jc w:val="left"/>
              <w:rPr>
                <w:rFonts w:hint="eastAsia" w:ascii="仿宋" w:hAnsi="仿宋" w:eastAsia="仿宋" w:cs="仿宋"/>
                <w:sz w:val="24"/>
                <w:szCs w:val="32"/>
                <w:vertAlign w:val="baseline"/>
                <w:lang w:val="en-US" w:eastAsia="zh-CN"/>
              </w:rPr>
            </w:pPr>
          </w:p>
          <w:p w14:paraId="33FF3203">
            <w:pPr>
              <w:jc w:val="left"/>
              <w:rPr>
                <w:rFonts w:hint="eastAsia" w:ascii="仿宋" w:hAnsi="仿宋" w:eastAsia="仿宋" w:cs="仿宋"/>
                <w:sz w:val="24"/>
                <w:szCs w:val="32"/>
                <w:vertAlign w:val="baseline"/>
                <w:lang w:val="en-US" w:eastAsia="zh-CN"/>
              </w:rPr>
            </w:pPr>
          </w:p>
          <w:p w14:paraId="714A18CC">
            <w:pPr>
              <w:jc w:val="left"/>
              <w:rPr>
                <w:rFonts w:hint="eastAsia" w:ascii="仿宋" w:hAnsi="仿宋" w:eastAsia="仿宋" w:cs="仿宋"/>
                <w:sz w:val="24"/>
                <w:szCs w:val="32"/>
                <w:vertAlign w:val="baseline"/>
                <w:lang w:val="en-US" w:eastAsia="zh-CN"/>
              </w:rPr>
            </w:pPr>
          </w:p>
          <w:p w14:paraId="3F5368B1">
            <w:pPr>
              <w:jc w:val="left"/>
              <w:rPr>
                <w:rFonts w:hint="eastAsia" w:ascii="仿宋" w:hAnsi="仿宋" w:eastAsia="仿宋" w:cs="仿宋"/>
                <w:sz w:val="24"/>
                <w:szCs w:val="32"/>
                <w:vertAlign w:val="baseline"/>
                <w:lang w:val="en-US" w:eastAsia="zh-CN"/>
              </w:rPr>
            </w:pPr>
          </w:p>
          <w:p w14:paraId="10F8BA4D">
            <w:pPr>
              <w:jc w:val="left"/>
              <w:rPr>
                <w:rFonts w:hint="eastAsia" w:ascii="仿宋" w:hAnsi="仿宋" w:eastAsia="仿宋" w:cs="仿宋"/>
                <w:sz w:val="24"/>
                <w:szCs w:val="32"/>
                <w:vertAlign w:val="baseline"/>
                <w:lang w:val="en-US" w:eastAsia="zh-CN"/>
              </w:rPr>
            </w:pPr>
          </w:p>
          <w:p w14:paraId="1F272383">
            <w:pPr>
              <w:jc w:val="left"/>
              <w:rPr>
                <w:rFonts w:hint="eastAsia" w:ascii="仿宋" w:hAnsi="仿宋" w:eastAsia="仿宋" w:cs="仿宋"/>
                <w:sz w:val="24"/>
                <w:szCs w:val="32"/>
                <w:vertAlign w:val="baseline"/>
                <w:lang w:val="en-US" w:eastAsia="zh-CN"/>
              </w:rPr>
            </w:pPr>
          </w:p>
          <w:p w14:paraId="7D08AC08">
            <w:pPr>
              <w:jc w:val="left"/>
              <w:rPr>
                <w:rFonts w:hint="eastAsia" w:ascii="仿宋" w:hAnsi="仿宋" w:eastAsia="仿宋" w:cs="仿宋"/>
                <w:sz w:val="24"/>
                <w:szCs w:val="32"/>
                <w:vertAlign w:val="baseline"/>
                <w:lang w:val="en-US" w:eastAsia="zh-CN"/>
              </w:rPr>
            </w:pPr>
          </w:p>
        </w:tc>
        <w:tc>
          <w:tcPr>
            <w:tcW w:w="1485" w:type="dxa"/>
            <w:tcBorders>
              <w:top w:val="single" w:color="auto" w:sz="4" w:space="0"/>
              <w:left w:val="nil"/>
              <w:bottom w:val="single" w:color="auto" w:sz="4" w:space="0"/>
              <w:right w:val="nil"/>
            </w:tcBorders>
            <w:noWrap w:val="0"/>
            <w:vAlign w:val="center"/>
          </w:tcPr>
          <w:p w14:paraId="6088498D">
            <w:pPr>
              <w:jc w:val="center"/>
              <w:rPr>
                <w:rFonts w:hint="eastAsia" w:ascii="仿宋" w:hAnsi="仿宋" w:eastAsia="仿宋" w:cs="仿宋"/>
                <w:sz w:val="24"/>
                <w:szCs w:val="32"/>
                <w:vertAlign w:val="baseline"/>
                <w:lang w:val="en-US" w:eastAsia="zh-CN"/>
              </w:rPr>
            </w:pPr>
          </w:p>
        </w:tc>
        <w:tc>
          <w:tcPr>
            <w:tcW w:w="1179" w:type="dxa"/>
            <w:tcBorders>
              <w:top w:val="single" w:color="auto" w:sz="4" w:space="0"/>
              <w:left w:val="nil"/>
              <w:bottom w:val="single" w:color="auto" w:sz="4" w:space="0"/>
              <w:right w:val="nil"/>
            </w:tcBorders>
            <w:noWrap w:val="0"/>
            <w:vAlign w:val="center"/>
          </w:tcPr>
          <w:p w14:paraId="2852CDA5">
            <w:pPr>
              <w:jc w:val="center"/>
              <w:rPr>
                <w:rFonts w:hint="eastAsia" w:ascii="仿宋" w:hAnsi="仿宋" w:eastAsia="仿宋" w:cs="仿宋"/>
                <w:sz w:val="24"/>
                <w:szCs w:val="32"/>
                <w:vertAlign w:val="baseline"/>
                <w:lang w:val="en-US" w:eastAsia="zh-CN"/>
              </w:rPr>
            </w:pPr>
          </w:p>
        </w:tc>
      </w:tr>
      <w:tr w14:paraId="3DC7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exact"/>
        </w:trPr>
        <w:tc>
          <w:tcPr>
            <w:tcW w:w="14724" w:type="dxa"/>
            <w:gridSpan w:val="6"/>
            <w:tcBorders>
              <w:top w:val="single" w:color="auto" w:sz="4" w:space="0"/>
            </w:tcBorders>
            <w:noWrap w:val="0"/>
            <w:vAlign w:val="center"/>
          </w:tcPr>
          <w:p w14:paraId="51F549D7">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委托执法事项清单</w:t>
            </w:r>
          </w:p>
          <w:p w14:paraId="29115BF8">
            <w:pPr>
              <w:jc w:val="both"/>
              <w:rPr>
                <w:rFonts w:hint="eastAsia" w:ascii="黑体" w:hAnsi="黑体" w:eastAsia="黑体" w:cs="黑体"/>
                <w:sz w:val="24"/>
                <w:szCs w:val="32"/>
                <w:highlight w:val="none"/>
                <w:vertAlign w:val="baseline"/>
                <w:lang w:val="en-US" w:eastAsia="zh-CN"/>
              </w:rPr>
            </w:pPr>
          </w:p>
          <w:p w14:paraId="6D10E2FF">
            <w:pPr>
              <w:jc w:val="both"/>
              <w:rPr>
                <w:rFonts w:hint="eastAsia" w:ascii="黑体" w:hAnsi="黑体" w:eastAsia="黑体" w:cs="黑体"/>
                <w:sz w:val="24"/>
                <w:szCs w:val="32"/>
                <w:highlight w:val="none"/>
                <w:vertAlign w:val="baseline"/>
                <w:lang w:val="en-US" w:eastAsia="zh-CN"/>
              </w:rPr>
            </w:pPr>
          </w:p>
        </w:tc>
      </w:tr>
      <w:tr w14:paraId="2BDE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4724" w:type="dxa"/>
            <w:gridSpan w:val="6"/>
            <w:noWrap w:val="0"/>
            <w:vAlign w:val="center"/>
          </w:tcPr>
          <w:p w14:paraId="1F7346AA">
            <w:pPr>
              <w:jc w:val="center"/>
              <w:rPr>
                <w:rFonts w:hint="default"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委托的执法主体1：杨凌示范区市场监督管理局</w:t>
            </w:r>
          </w:p>
        </w:tc>
      </w:tr>
      <w:tr w14:paraId="0BEE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exact"/>
        </w:trPr>
        <w:tc>
          <w:tcPr>
            <w:tcW w:w="996" w:type="dxa"/>
            <w:noWrap w:val="0"/>
            <w:vAlign w:val="center"/>
          </w:tcPr>
          <w:p w14:paraId="07D810E6">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序号</w:t>
            </w:r>
          </w:p>
        </w:tc>
        <w:tc>
          <w:tcPr>
            <w:tcW w:w="1716" w:type="dxa"/>
            <w:noWrap w:val="0"/>
            <w:vAlign w:val="center"/>
          </w:tcPr>
          <w:p w14:paraId="619ABA1B">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委托的执法事项名称</w:t>
            </w:r>
          </w:p>
        </w:tc>
        <w:tc>
          <w:tcPr>
            <w:tcW w:w="1368" w:type="dxa"/>
            <w:noWrap w:val="0"/>
            <w:vAlign w:val="center"/>
          </w:tcPr>
          <w:p w14:paraId="111D0829">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执法类别</w:t>
            </w:r>
          </w:p>
        </w:tc>
        <w:tc>
          <w:tcPr>
            <w:tcW w:w="7980" w:type="dxa"/>
            <w:noWrap w:val="0"/>
            <w:vAlign w:val="center"/>
          </w:tcPr>
          <w:p w14:paraId="6F3505E4">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委托执法的依据（含事项依据、可以委托执法的依据）</w:t>
            </w:r>
          </w:p>
        </w:tc>
        <w:tc>
          <w:tcPr>
            <w:tcW w:w="1485" w:type="dxa"/>
            <w:noWrap w:val="0"/>
            <w:vAlign w:val="center"/>
          </w:tcPr>
          <w:p w14:paraId="23546E09">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受委托的组织</w:t>
            </w:r>
          </w:p>
        </w:tc>
        <w:tc>
          <w:tcPr>
            <w:tcW w:w="1179" w:type="dxa"/>
            <w:noWrap w:val="0"/>
            <w:vAlign w:val="center"/>
          </w:tcPr>
          <w:p w14:paraId="17B1EF87">
            <w:pPr>
              <w:jc w:val="center"/>
              <w:rPr>
                <w:rFonts w:hint="eastAsia" w:ascii="黑体" w:hAnsi="黑体" w:eastAsia="黑体" w:cs="黑体"/>
                <w:sz w:val="24"/>
                <w:szCs w:val="32"/>
                <w:highlight w:val="none"/>
                <w:vertAlign w:val="baseline"/>
                <w:lang w:val="en-US" w:eastAsia="zh-CN"/>
              </w:rPr>
            </w:pPr>
            <w:r>
              <w:rPr>
                <w:rFonts w:hint="eastAsia" w:ascii="黑体" w:hAnsi="黑体" w:eastAsia="黑体" w:cs="黑体"/>
                <w:sz w:val="24"/>
                <w:szCs w:val="32"/>
                <w:highlight w:val="none"/>
                <w:vertAlign w:val="baseline"/>
                <w:lang w:val="en-US" w:eastAsia="zh-CN"/>
              </w:rPr>
              <w:t>委托周期</w:t>
            </w:r>
          </w:p>
        </w:tc>
      </w:tr>
      <w:tr w14:paraId="00A5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8" w:hRule="exact"/>
        </w:trPr>
        <w:tc>
          <w:tcPr>
            <w:tcW w:w="996" w:type="dxa"/>
            <w:noWrap w:val="0"/>
            <w:vAlign w:val="center"/>
          </w:tcPr>
          <w:p w14:paraId="35FFA5EA">
            <w:pPr>
              <w:jc w:val="center"/>
              <w:rPr>
                <w:rFonts w:hint="default" w:ascii="黑体" w:hAnsi="黑体" w:eastAsia="黑体" w:cs="黑体"/>
                <w:sz w:val="24"/>
                <w:szCs w:val="32"/>
                <w:highlight w:val="none"/>
                <w:vertAlign w:val="baseline"/>
                <w:lang w:val="en-US" w:eastAsia="zh-CN"/>
              </w:rPr>
            </w:pPr>
            <w:r>
              <w:rPr>
                <w:rFonts w:hint="eastAsia" w:ascii="仿宋" w:hAnsi="仿宋" w:eastAsia="仿宋" w:cs="仿宋"/>
                <w:sz w:val="24"/>
                <w:szCs w:val="32"/>
                <w:highlight w:val="none"/>
                <w:vertAlign w:val="baseline"/>
                <w:lang w:val="en-US" w:eastAsia="zh-CN"/>
              </w:rPr>
              <w:t>1</w:t>
            </w:r>
          </w:p>
        </w:tc>
        <w:tc>
          <w:tcPr>
            <w:tcW w:w="1716" w:type="dxa"/>
            <w:noWrap w:val="0"/>
            <w:vAlign w:val="center"/>
          </w:tcPr>
          <w:p w14:paraId="4F16962C">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特种设备生产单位许可(部分许可项目）</w:t>
            </w:r>
          </w:p>
        </w:tc>
        <w:tc>
          <w:tcPr>
            <w:tcW w:w="1368" w:type="dxa"/>
            <w:noWrap w:val="0"/>
            <w:vAlign w:val="center"/>
          </w:tcPr>
          <w:p w14:paraId="39420B8C">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行政许可</w:t>
            </w:r>
          </w:p>
        </w:tc>
        <w:tc>
          <w:tcPr>
            <w:tcW w:w="7980" w:type="dxa"/>
            <w:noWrap w:val="0"/>
            <w:vAlign w:val="center"/>
          </w:tcPr>
          <w:p w14:paraId="27B5FB5D">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特种设备安全法》第十八条：国家按照分类监督管理的原则对特种设备生产实行许可制度。特种设备生产单位应当具备下列条件，并经负责特种设备安全监督管理的部门许可，方可从事生产活动：</w:t>
            </w:r>
          </w:p>
          <w:p w14:paraId="21089AD7">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（一）有与生产相适应的专业技术人员；</w:t>
            </w:r>
          </w:p>
          <w:p w14:paraId="62D76C28">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（二）有与生产相适应的设备、设施和工作场所；</w:t>
            </w:r>
          </w:p>
          <w:p w14:paraId="5E655194">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（三）有健全的质量保证、安全管理和岗位责任等制度。</w:t>
            </w:r>
          </w:p>
          <w:p w14:paraId="78347928">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 xml:space="preserve"> 《陕西省人民政府关于委托一批行政许可事项的决定》（省政府令第 235 号）</w:t>
            </w:r>
          </w:p>
          <w:p w14:paraId="36937C34">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 xml:space="preserve"> 《陕西省人民政府关于向中国（陕西）自由贸易试验区和省内国家自主创新示范区、国家高新技术产业开发区、 国家级经济技术开发区和国家级新区委托部分行政管理事项的决定》（省政府令第 212 号）</w:t>
            </w:r>
          </w:p>
        </w:tc>
        <w:tc>
          <w:tcPr>
            <w:tcW w:w="1485" w:type="dxa"/>
            <w:noWrap w:val="0"/>
            <w:vAlign w:val="center"/>
          </w:tcPr>
          <w:p w14:paraId="1783F79A">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行政审批</w:t>
            </w:r>
          </w:p>
          <w:p w14:paraId="01B2FB63">
            <w:pPr>
              <w:jc w:val="center"/>
              <w:rPr>
                <w:rFonts w:hint="eastAsia" w:ascii="黑体" w:hAnsi="黑体" w:eastAsia="黑体" w:cs="黑体"/>
                <w:sz w:val="24"/>
                <w:szCs w:val="32"/>
                <w:highlight w:val="none"/>
                <w:vertAlign w:val="baseline"/>
                <w:lang w:val="en-US" w:eastAsia="zh-CN"/>
              </w:rPr>
            </w:pPr>
            <w:r>
              <w:rPr>
                <w:rFonts w:hint="eastAsia" w:ascii="仿宋_GB2312" w:hAnsi="仿宋_GB2312" w:eastAsia="仿宋_GB2312" w:cs="仿宋_GB2312"/>
                <w:kern w:val="0"/>
                <w:sz w:val="24"/>
                <w:szCs w:val="24"/>
                <w:highlight w:val="none"/>
                <w:lang w:val="en-US" w:eastAsia="zh-CN"/>
              </w:rPr>
              <w:t>服务分局</w:t>
            </w:r>
          </w:p>
        </w:tc>
        <w:tc>
          <w:tcPr>
            <w:tcW w:w="1179" w:type="dxa"/>
            <w:noWrap w:val="0"/>
            <w:vAlign w:val="center"/>
          </w:tcPr>
          <w:p w14:paraId="4BB24DED">
            <w:pPr>
              <w:jc w:val="center"/>
              <w:rPr>
                <w:rFonts w:hint="default" w:ascii="黑体" w:hAnsi="黑体" w:eastAsia="黑体" w:cs="黑体"/>
                <w:sz w:val="24"/>
                <w:szCs w:val="32"/>
                <w:highlight w:val="none"/>
                <w:vertAlign w:val="baseline"/>
                <w:lang w:val="en-US" w:eastAsia="zh-CN"/>
              </w:rPr>
            </w:pPr>
            <w:r>
              <w:rPr>
                <w:rFonts w:hint="eastAsia" w:ascii="仿宋_GB2312" w:hAnsi="仿宋_GB2312" w:eastAsia="仿宋_GB2312" w:cs="仿宋_GB2312"/>
                <w:kern w:val="0"/>
                <w:sz w:val="24"/>
                <w:szCs w:val="24"/>
                <w:highlight w:val="none"/>
                <w:lang w:val="en-US" w:eastAsia="zh-CN"/>
              </w:rPr>
              <w:t>无固定期限，以委托文件为准</w:t>
            </w:r>
          </w:p>
        </w:tc>
      </w:tr>
      <w:tr w14:paraId="4AD2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9" w:hRule="exact"/>
        </w:trPr>
        <w:tc>
          <w:tcPr>
            <w:tcW w:w="996" w:type="dxa"/>
            <w:noWrap w:val="0"/>
            <w:vAlign w:val="center"/>
          </w:tcPr>
          <w:p w14:paraId="7EFA9CAF">
            <w:pPr>
              <w:jc w:val="center"/>
              <w:rPr>
                <w:rFonts w:hint="default" w:ascii="黑体" w:hAnsi="黑体" w:eastAsia="黑体" w:cs="黑体"/>
                <w:sz w:val="24"/>
                <w:szCs w:val="32"/>
                <w:highlight w:val="none"/>
                <w:vertAlign w:val="baseline"/>
                <w:lang w:val="en-US" w:eastAsia="zh-CN"/>
              </w:rPr>
            </w:pPr>
            <w:r>
              <w:rPr>
                <w:rFonts w:hint="eastAsia" w:ascii="仿宋" w:hAnsi="仿宋" w:eastAsia="仿宋" w:cs="仿宋"/>
                <w:sz w:val="24"/>
                <w:szCs w:val="32"/>
                <w:highlight w:val="none"/>
                <w:vertAlign w:val="baseline"/>
                <w:lang w:val="en-US" w:eastAsia="zh-CN"/>
              </w:rPr>
              <w:t>2</w:t>
            </w:r>
          </w:p>
        </w:tc>
        <w:tc>
          <w:tcPr>
            <w:tcW w:w="1716" w:type="dxa"/>
            <w:noWrap w:val="0"/>
            <w:vAlign w:val="center"/>
          </w:tcPr>
          <w:p w14:paraId="5FD47829">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移动式压力容器、气瓶充装许可（不含液化石油气气瓶充装许可）</w:t>
            </w:r>
          </w:p>
        </w:tc>
        <w:tc>
          <w:tcPr>
            <w:tcW w:w="1368" w:type="dxa"/>
            <w:noWrap w:val="0"/>
            <w:vAlign w:val="center"/>
          </w:tcPr>
          <w:p w14:paraId="3BD66EA6">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行政许可</w:t>
            </w:r>
          </w:p>
        </w:tc>
        <w:tc>
          <w:tcPr>
            <w:tcW w:w="7980" w:type="dxa"/>
            <w:noWrap w:val="0"/>
            <w:vAlign w:val="center"/>
          </w:tcPr>
          <w:p w14:paraId="63CA3DD3">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《中华人民共和国特种设备安全法》第四十九条:移动式压力容器、气瓶充装单位，应当具备下列条件，并经负责特种设备安全监督管理的部门许可，方可从事充装活动：</w:t>
            </w:r>
            <w:r>
              <w:rPr>
                <w:rFonts w:hint="eastAsia" w:ascii="仿宋_GB2312" w:hAnsi="仿宋_GB2312" w:eastAsia="仿宋_GB2312" w:cs="仿宋_GB2312"/>
                <w:kern w:val="0"/>
                <w:sz w:val="24"/>
                <w:szCs w:val="24"/>
                <w:highlight w:val="none"/>
                <w:lang w:val="en-US" w:eastAsia="zh-CN"/>
              </w:rPr>
              <w:br w:type="textWrapping"/>
            </w:r>
            <w:r>
              <w:rPr>
                <w:rFonts w:hint="eastAsia" w:ascii="仿宋_GB2312" w:hAnsi="仿宋_GB2312" w:eastAsia="仿宋_GB2312" w:cs="仿宋_GB2312"/>
                <w:kern w:val="0"/>
                <w:sz w:val="24"/>
                <w:szCs w:val="24"/>
                <w:highlight w:val="none"/>
                <w:lang w:val="en-US" w:eastAsia="zh-CN"/>
              </w:rPr>
              <w:t>（一）有与充装和管理相适应的管理人员和技术人员；</w:t>
            </w:r>
            <w:r>
              <w:rPr>
                <w:rFonts w:hint="eastAsia" w:ascii="仿宋_GB2312" w:hAnsi="仿宋_GB2312" w:eastAsia="仿宋_GB2312" w:cs="仿宋_GB2312"/>
                <w:kern w:val="0"/>
                <w:sz w:val="24"/>
                <w:szCs w:val="24"/>
                <w:highlight w:val="none"/>
                <w:lang w:val="en-US" w:eastAsia="zh-CN"/>
              </w:rPr>
              <w:br w:type="textWrapping"/>
            </w:r>
            <w:r>
              <w:rPr>
                <w:rFonts w:hint="eastAsia" w:ascii="仿宋_GB2312" w:hAnsi="仿宋_GB2312" w:eastAsia="仿宋_GB2312" w:cs="仿宋_GB2312"/>
                <w:kern w:val="0"/>
                <w:sz w:val="24"/>
                <w:szCs w:val="24"/>
                <w:highlight w:val="none"/>
                <w:lang w:val="en-US" w:eastAsia="zh-CN"/>
              </w:rPr>
              <w:t>（二）有与充装和管理相适应的充装设备、检测手段、场地厂房、器具、安全设施；</w:t>
            </w:r>
            <w:r>
              <w:rPr>
                <w:rFonts w:hint="eastAsia" w:ascii="仿宋_GB2312" w:hAnsi="仿宋_GB2312" w:eastAsia="仿宋_GB2312" w:cs="仿宋_GB2312"/>
                <w:kern w:val="0"/>
                <w:sz w:val="24"/>
                <w:szCs w:val="24"/>
                <w:highlight w:val="none"/>
                <w:lang w:val="en-US" w:eastAsia="zh-CN"/>
              </w:rPr>
              <w:br w:type="textWrapping"/>
            </w:r>
            <w:r>
              <w:rPr>
                <w:rFonts w:hint="eastAsia" w:ascii="仿宋_GB2312" w:hAnsi="仿宋_GB2312" w:eastAsia="仿宋_GB2312" w:cs="仿宋_GB2312"/>
                <w:kern w:val="0"/>
                <w:sz w:val="24"/>
                <w:szCs w:val="24"/>
                <w:highlight w:val="none"/>
                <w:lang w:val="en-US" w:eastAsia="zh-CN"/>
              </w:rPr>
              <w:t>（三）有健全的充装管理制度、责任制度、处理措施。</w:t>
            </w:r>
          </w:p>
          <w:p w14:paraId="509C1B5D">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 xml:space="preserve"> 《陕西省人民政府关于委托一批行政许可事项的决定》（省政府令第 235 号）</w:t>
            </w:r>
          </w:p>
        </w:tc>
        <w:tc>
          <w:tcPr>
            <w:tcW w:w="1485" w:type="dxa"/>
            <w:noWrap w:val="0"/>
            <w:vAlign w:val="center"/>
          </w:tcPr>
          <w:p w14:paraId="7799D072">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行政审批</w:t>
            </w:r>
          </w:p>
          <w:p w14:paraId="6A4A78A9">
            <w:pPr>
              <w:jc w:val="center"/>
              <w:rPr>
                <w:rFonts w:hint="eastAsia" w:ascii="黑体" w:hAnsi="黑体" w:eastAsia="黑体" w:cs="黑体"/>
                <w:sz w:val="24"/>
                <w:szCs w:val="32"/>
                <w:highlight w:val="none"/>
                <w:vertAlign w:val="baseline"/>
                <w:lang w:val="en-US" w:eastAsia="zh-CN"/>
              </w:rPr>
            </w:pPr>
            <w:r>
              <w:rPr>
                <w:rFonts w:hint="eastAsia" w:ascii="仿宋_GB2312" w:hAnsi="仿宋_GB2312" w:eastAsia="仿宋_GB2312" w:cs="仿宋_GB2312"/>
                <w:kern w:val="0"/>
                <w:sz w:val="24"/>
                <w:szCs w:val="24"/>
                <w:highlight w:val="none"/>
                <w:lang w:val="en-US" w:eastAsia="zh-CN"/>
              </w:rPr>
              <w:t>服务分局</w:t>
            </w:r>
          </w:p>
        </w:tc>
        <w:tc>
          <w:tcPr>
            <w:tcW w:w="1179" w:type="dxa"/>
            <w:noWrap w:val="0"/>
            <w:vAlign w:val="center"/>
          </w:tcPr>
          <w:p w14:paraId="2420808F">
            <w:pPr>
              <w:jc w:val="center"/>
              <w:rPr>
                <w:rFonts w:hint="eastAsia" w:ascii="黑体" w:hAnsi="黑体" w:eastAsia="黑体" w:cs="黑体"/>
                <w:sz w:val="24"/>
                <w:szCs w:val="32"/>
                <w:highlight w:val="none"/>
                <w:vertAlign w:val="baseline"/>
                <w:lang w:val="en-US" w:eastAsia="zh-CN"/>
              </w:rPr>
            </w:pPr>
            <w:r>
              <w:rPr>
                <w:rFonts w:hint="eastAsia" w:ascii="仿宋_GB2312" w:hAnsi="仿宋_GB2312" w:eastAsia="仿宋_GB2312" w:cs="仿宋_GB2312"/>
                <w:kern w:val="0"/>
                <w:sz w:val="24"/>
                <w:szCs w:val="24"/>
                <w:highlight w:val="none"/>
                <w:lang w:val="en-US" w:eastAsia="zh-CN"/>
              </w:rPr>
              <w:t>无固定期限，以委托文件为准</w:t>
            </w:r>
          </w:p>
        </w:tc>
      </w:tr>
      <w:tr w14:paraId="4644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exact"/>
        </w:trPr>
        <w:tc>
          <w:tcPr>
            <w:tcW w:w="996" w:type="dxa"/>
            <w:noWrap w:val="0"/>
            <w:vAlign w:val="center"/>
          </w:tcPr>
          <w:p w14:paraId="6AE0CACE">
            <w:pPr>
              <w:jc w:val="center"/>
              <w:rPr>
                <w:rFonts w:hint="default" w:ascii="黑体" w:hAnsi="黑体" w:eastAsia="黑体" w:cs="黑体"/>
                <w:sz w:val="24"/>
                <w:szCs w:val="32"/>
                <w:highlight w:val="none"/>
                <w:vertAlign w:val="baseline"/>
                <w:lang w:val="en-US" w:eastAsia="zh-CN"/>
              </w:rPr>
            </w:pPr>
            <w:r>
              <w:rPr>
                <w:rFonts w:hint="eastAsia" w:ascii="仿宋" w:hAnsi="仿宋" w:eastAsia="仿宋" w:cs="仿宋"/>
                <w:sz w:val="24"/>
                <w:szCs w:val="32"/>
                <w:highlight w:val="none"/>
                <w:vertAlign w:val="baseline"/>
                <w:lang w:val="en-US" w:eastAsia="zh-CN"/>
              </w:rPr>
              <w:t>3</w:t>
            </w:r>
          </w:p>
        </w:tc>
        <w:tc>
          <w:tcPr>
            <w:tcW w:w="1716" w:type="dxa"/>
            <w:noWrap w:val="0"/>
            <w:vAlign w:val="center"/>
          </w:tcPr>
          <w:p w14:paraId="6840CFFC">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计量器具型式批准</w:t>
            </w:r>
          </w:p>
          <w:p w14:paraId="6CB1ACD9">
            <w:pPr>
              <w:jc w:val="left"/>
              <w:rPr>
                <w:rFonts w:hint="eastAsia" w:ascii="仿宋_GB2312" w:hAnsi="仿宋_GB2312" w:eastAsia="仿宋_GB2312" w:cs="仿宋_GB2312"/>
                <w:kern w:val="0"/>
                <w:sz w:val="24"/>
                <w:szCs w:val="24"/>
                <w:highlight w:val="none"/>
                <w:lang w:val="en-US" w:eastAsia="zh-CN"/>
              </w:rPr>
            </w:pPr>
          </w:p>
        </w:tc>
        <w:tc>
          <w:tcPr>
            <w:tcW w:w="1368" w:type="dxa"/>
            <w:noWrap w:val="0"/>
            <w:vAlign w:val="center"/>
          </w:tcPr>
          <w:p w14:paraId="22617EC8">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行政许可</w:t>
            </w:r>
          </w:p>
        </w:tc>
        <w:tc>
          <w:tcPr>
            <w:tcW w:w="7980" w:type="dxa"/>
            <w:noWrap w:val="0"/>
            <w:vAlign w:val="center"/>
          </w:tcPr>
          <w:p w14:paraId="13161322">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计量法实施细则》第十五条：凡制造在全国范围内从未生产过的计量器具新产品，必须经过定型鉴定。定型鉴定合格后，应当履行型式批准手续，颁发证书。在全国范围内已经定型，而本单位未生产过的计量器具新产品，应当进行样机试验。样机试验合格后，发给合格证书。凡未经型式批准或者未取得样机试验合格证书的计量器具，不准生产。</w:t>
            </w:r>
          </w:p>
          <w:p w14:paraId="689B1016">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《陕西省人民政府关于中国（陕西）自由贸易试验区实施部分省级管理事项的决定》（省政府令 199 号）</w:t>
            </w:r>
          </w:p>
          <w:p w14:paraId="53594076">
            <w:pPr>
              <w:jc w:val="left"/>
              <w:rPr>
                <w:rFonts w:hint="eastAsia" w:ascii="仿宋_GB2312" w:hAnsi="仿宋_GB2312" w:eastAsia="仿宋_GB2312" w:cs="仿宋_GB2312"/>
                <w:kern w:val="0"/>
                <w:sz w:val="24"/>
                <w:szCs w:val="24"/>
                <w:highlight w:val="none"/>
                <w:lang w:val="en-US" w:eastAsia="zh-CN"/>
              </w:rPr>
            </w:pPr>
          </w:p>
        </w:tc>
        <w:tc>
          <w:tcPr>
            <w:tcW w:w="1485" w:type="dxa"/>
            <w:noWrap w:val="0"/>
            <w:vAlign w:val="center"/>
          </w:tcPr>
          <w:p w14:paraId="5D578510">
            <w:pPr>
              <w:jc w:val="center"/>
              <w:rPr>
                <w:rFonts w:hint="eastAsia" w:ascii="仿宋" w:hAnsi="仿宋" w:eastAsia="仿宋" w:cs="仿宋"/>
                <w:sz w:val="24"/>
                <w:szCs w:val="32"/>
                <w:highlight w:val="none"/>
                <w:vertAlign w:val="baseline"/>
                <w:lang w:val="en-US" w:eastAsia="zh-CN"/>
              </w:rPr>
            </w:pPr>
            <w:r>
              <w:rPr>
                <w:rFonts w:hint="eastAsia" w:ascii="仿宋" w:hAnsi="仿宋" w:eastAsia="仿宋" w:cs="仿宋"/>
                <w:sz w:val="24"/>
                <w:szCs w:val="32"/>
                <w:highlight w:val="none"/>
                <w:vertAlign w:val="baseline"/>
                <w:lang w:val="en-US" w:eastAsia="zh-CN"/>
              </w:rPr>
              <w:t>行政审批</w:t>
            </w:r>
          </w:p>
          <w:p w14:paraId="0B9EE9F0">
            <w:pPr>
              <w:jc w:val="center"/>
              <w:rPr>
                <w:rFonts w:hint="eastAsia" w:ascii="仿宋" w:hAnsi="仿宋" w:eastAsia="仿宋" w:cs="仿宋"/>
                <w:sz w:val="24"/>
                <w:szCs w:val="32"/>
                <w:highlight w:val="none"/>
                <w:vertAlign w:val="baseline"/>
                <w:lang w:val="en-US" w:eastAsia="zh-CN"/>
              </w:rPr>
            </w:pPr>
            <w:r>
              <w:rPr>
                <w:rFonts w:hint="eastAsia" w:ascii="仿宋" w:hAnsi="仿宋" w:eastAsia="仿宋" w:cs="仿宋"/>
                <w:sz w:val="24"/>
                <w:szCs w:val="32"/>
                <w:highlight w:val="none"/>
                <w:vertAlign w:val="baseline"/>
                <w:lang w:val="en-US" w:eastAsia="zh-CN"/>
              </w:rPr>
              <w:t>服务分局</w:t>
            </w:r>
          </w:p>
        </w:tc>
        <w:tc>
          <w:tcPr>
            <w:tcW w:w="1179" w:type="dxa"/>
            <w:noWrap w:val="0"/>
            <w:vAlign w:val="center"/>
          </w:tcPr>
          <w:p w14:paraId="1FC5B4D5">
            <w:pPr>
              <w:jc w:val="center"/>
              <w:rPr>
                <w:rFonts w:hint="eastAsia" w:ascii="黑体" w:hAnsi="黑体" w:eastAsia="黑体" w:cs="黑体"/>
                <w:sz w:val="24"/>
                <w:szCs w:val="32"/>
                <w:highlight w:val="none"/>
                <w:vertAlign w:val="baseline"/>
                <w:lang w:val="en-US" w:eastAsia="zh-CN"/>
              </w:rPr>
            </w:pPr>
            <w:r>
              <w:rPr>
                <w:rFonts w:hint="eastAsia" w:ascii="仿宋_GB2312" w:hAnsi="仿宋_GB2312" w:eastAsia="仿宋_GB2312" w:cs="仿宋_GB2312"/>
                <w:kern w:val="0"/>
                <w:sz w:val="24"/>
                <w:szCs w:val="24"/>
                <w:highlight w:val="none"/>
                <w:lang w:val="en-US" w:eastAsia="zh-CN"/>
              </w:rPr>
              <w:t>无固定期限，以委托文件为准</w:t>
            </w:r>
          </w:p>
        </w:tc>
      </w:tr>
      <w:tr w14:paraId="2A9E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exact"/>
        </w:trPr>
        <w:tc>
          <w:tcPr>
            <w:tcW w:w="996" w:type="dxa"/>
            <w:shd w:val="clear" w:color="auto" w:fill="auto"/>
            <w:noWrap w:val="0"/>
            <w:vAlign w:val="center"/>
          </w:tcPr>
          <w:p w14:paraId="24153427">
            <w:pPr>
              <w:jc w:val="center"/>
              <w:rPr>
                <w:rFonts w:hint="default" w:ascii="仿宋_GB2312" w:hAnsi="仿宋_GB2312" w:eastAsia="仿宋_GB2312" w:cs="仿宋_GB2312"/>
                <w:kern w:val="0"/>
                <w:sz w:val="24"/>
                <w:szCs w:val="24"/>
                <w:highlight w:val="none"/>
                <w:lang w:val="en-US" w:eastAsia="zh-CN" w:bidi="ar-SA"/>
              </w:rPr>
            </w:pPr>
            <w:r>
              <w:rPr>
                <w:rFonts w:hint="eastAsia" w:ascii="仿宋" w:hAnsi="仿宋" w:eastAsia="仿宋" w:cs="仿宋"/>
                <w:sz w:val="24"/>
                <w:szCs w:val="32"/>
                <w:highlight w:val="none"/>
                <w:vertAlign w:val="baseline"/>
                <w:lang w:val="en-US" w:eastAsia="zh-CN"/>
              </w:rPr>
              <w:t>4</w:t>
            </w:r>
          </w:p>
        </w:tc>
        <w:tc>
          <w:tcPr>
            <w:tcW w:w="1716" w:type="dxa"/>
            <w:shd w:val="clear" w:color="auto" w:fill="auto"/>
            <w:noWrap w:val="0"/>
            <w:vAlign w:val="center"/>
          </w:tcPr>
          <w:p w14:paraId="62F0C1B8">
            <w:pPr>
              <w:jc w:val="center"/>
              <w:rPr>
                <w:rFonts w:hint="eastAsia" w:ascii="仿宋_GB2312" w:hAnsi="仿宋_GB2312" w:eastAsia="仿宋_GB2312" w:cs="仿宋_GB2312"/>
                <w:kern w:val="0"/>
                <w:sz w:val="24"/>
                <w:szCs w:val="24"/>
                <w:highlight w:val="none"/>
                <w:lang w:val="en-US" w:eastAsia="zh-CN" w:bidi="ar-SA"/>
              </w:rPr>
            </w:pPr>
            <w:r>
              <w:rPr>
                <w:rFonts w:hint="eastAsia" w:ascii="仿宋_GB2312" w:hAnsi="仿宋_GB2312" w:eastAsia="仿宋_GB2312" w:cs="仿宋_GB2312"/>
                <w:kern w:val="0"/>
                <w:sz w:val="24"/>
                <w:szCs w:val="24"/>
                <w:highlight w:val="none"/>
                <w:lang w:val="en-US" w:eastAsia="zh-CN"/>
              </w:rPr>
              <w:t>特种设备安全管理和作业人员资格认定(部分认定项目）</w:t>
            </w:r>
          </w:p>
        </w:tc>
        <w:tc>
          <w:tcPr>
            <w:tcW w:w="1368" w:type="dxa"/>
            <w:shd w:val="clear" w:color="auto" w:fill="auto"/>
            <w:noWrap w:val="0"/>
            <w:vAlign w:val="center"/>
          </w:tcPr>
          <w:p w14:paraId="10E0BC51">
            <w:pPr>
              <w:jc w:val="center"/>
              <w:rPr>
                <w:rFonts w:hint="eastAsia" w:ascii="仿宋_GB2312" w:hAnsi="仿宋_GB2312" w:eastAsia="仿宋_GB2312" w:cs="仿宋_GB2312"/>
                <w:kern w:val="0"/>
                <w:sz w:val="24"/>
                <w:szCs w:val="24"/>
                <w:highlight w:val="none"/>
                <w:lang w:val="en-US" w:eastAsia="zh-CN" w:bidi="ar-SA"/>
              </w:rPr>
            </w:pPr>
            <w:r>
              <w:rPr>
                <w:rFonts w:hint="eastAsia" w:ascii="仿宋_GB2312" w:hAnsi="仿宋_GB2312" w:eastAsia="仿宋_GB2312" w:cs="仿宋_GB2312"/>
                <w:kern w:val="0"/>
                <w:sz w:val="24"/>
                <w:szCs w:val="24"/>
                <w:highlight w:val="none"/>
                <w:lang w:val="en-US" w:eastAsia="zh-CN"/>
              </w:rPr>
              <w:t>行政许可</w:t>
            </w:r>
          </w:p>
        </w:tc>
        <w:tc>
          <w:tcPr>
            <w:tcW w:w="7980" w:type="dxa"/>
            <w:shd w:val="clear" w:color="auto" w:fill="auto"/>
            <w:noWrap w:val="0"/>
            <w:vAlign w:val="center"/>
          </w:tcPr>
          <w:p w14:paraId="2E856D2F">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《中华人民共和国特种设备安全法》第十四条 特种设备安全管理人员、检测人员和作业人员应当按照国家有关规定取得相应资格，方可从事相关工作。特种设备安全管理人员、检测人员和作业人员应当严格执行安全技术规范和管理制度，保证特种设备安全。</w:t>
            </w:r>
          </w:p>
          <w:p w14:paraId="6C6A751A">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《国家职业资格目录（2021年版）》</w:t>
            </w:r>
          </w:p>
          <w:p w14:paraId="23654F9B">
            <w:pPr>
              <w:jc w:val="left"/>
              <w:rPr>
                <w:rFonts w:hint="eastAsia" w:ascii="仿宋_GB2312" w:hAnsi="仿宋_GB2312" w:eastAsia="仿宋_GB2312" w:cs="仿宋_GB2312"/>
                <w:kern w:val="0"/>
                <w:sz w:val="24"/>
                <w:szCs w:val="24"/>
                <w:highlight w:val="none"/>
                <w:lang w:val="en-US" w:eastAsia="zh-CN" w:bidi="ar-SA"/>
              </w:rPr>
            </w:pPr>
            <w:r>
              <w:rPr>
                <w:rFonts w:hint="eastAsia" w:ascii="仿宋_GB2312" w:hAnsi="仿宋_GB2312" w:eastAsia="仿宋_GB2312" w:cs="仿宋_GB2312"/>
                <w:kern w:val="0"/>
                <w:sz w:val="24"/>
                <w:szCs w:val="24"/>
                <w:highlight w:val="none"/>
                <w:lang w:val="en-US" w:eastAsia="zh-CN"/>
              </w:rPr>
              <w:t>《陕西省人民政府关于中国（陕西）自由贸易试验区实施部分省级管理事项的决定》（省政府令199 号）</w:t>
            </w:r>
          </w:p>
        </w:tc>
        <w:tc>
          <w:tcPr>
            <w:tcW w:w="1485" w:type="dxa"/>
            <w:shd w:val="clear" w:color="auto" w:fill="auto"/>
            <w:noWrap w:val="0"/>
            <w:vAlign w:val="center"/>
          </w:tcPr>
          <w:p w14:paraId="23C01FD4">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行政审批</w:t>
            </w:r>
          </w:p>
          <w:p w14:paraId="216773F6">
            <w:pPr>
              <w:jc w:val="center"/>
              <w:rPr>
                <w:rFonts w:hint="eastAsia" w:ascii="仿宋_GB2312" w:hAnsi="仿宋_GB2312" w:eastAsia="仿宋_GB2312" w:cs="仿宋_GB2312"/>
                <w:kern w:val="0"/>
                <w:sz w:val="24"/>
                <w:szCs w:val="24"/>
                <w:highlight w:val="none"/>
                <w:lang w:val="en-US" w:eastAsia="zh-CN" w:bidi="ar-SA"/>
              </w:rPr>
            </w:pPr>
            <w:r>
              <w:rPr>
                <w:rFonts w:hint="eastAsia" w:ascii="仿宋_GB2312" w:hAnsi="仿宋_GB2312" w:eastAsia="仿宋_GB2312" w:cs="仿宋_GB2312"/>
                <w:kern w:val="0"/>
                <w:sz w:val="24"/>
                <w:szCs w:val="24"/>
                <w:highlight w:val="none"/>
                <w:lang w:val="en-US" w:eastAsia="zh-CN"/>
              </w:rPr>
              <w:t>服务分局</w:t>
            </w:r>
          </w:p>
        </w:tc>
        <w:tc>
          <w:tcPr>
            <w:tcW w:w="1179" w:type="dxa"/>
            <w:shd w:val="clear" w:color="auto" w:fill="auto"/>
            <w:noWrap w:val="0"/>
            <w:vAlign w:val="center"/>
          </w:tcPr>
          <w:p w14:paraId="23307F30">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蒋团谋</w:t>
            </w:r>
          </w:p>
          <w:p w14:paraId="6C816569">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杨  洋</w:t>
            </w:r>
          </w:p>
          <w:p w14:paraId="0982DF95">
            <w:pPr>
              <w:jc w:val="center"/>
              <w:rPr>
                <w:rFonts w:hint="eastAsia" w:ascii="仿宋_GB2312" w:hAnsi="仿宋_GB2312" w:eastAsia="仿宋_GB2312" w:cs="仿宋_GB2312"/>
                <w:kern w:val="0"/>
                <w:sz w:val="24"/>
                <w:szCs w:val="24"/>
                <w:highlight w:val="none"/>
                <w:lang w:val="en-US" w:eastAsia="zh-CN" w:bidi="ar-SA"/>
              </w:rPr>
            </w:pPr>
            <w:r>
              <w:rPr>
                <w:rFonts w:hint="eastAsia" w:ascii="仿宋_GB2312" w:hAnsi="仿宋_GB2312" w:eastAsia="仿宋_GB2312" w:cs="仿宋_GB2312"/>
                <w:kern w:val="0"/>
                <w:sz w:val="24"/>
                <w:szCs w:val="24"/>
                <w:highlight w:val="none"/>
                <w:lang w:val="en-US" w:eastAsia="zh-CN"/>
              </w:rPr>
              <w:t>郭  倩</w:t>
            </w:r>
          </w:p>
        </w:tc>
      </w:tr>
      <w:tr w14:paraId="76C6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6" w:hRule="exact"/>
        </w:trPr>
        <w:tc>
          <w:tcPr>
            <w:tcW w:w="996" w:type="dxa"/>
            <w:noWrap w:val="0"/>
            <w:vAlign w:val="center"/>
          </w:tcPr>
          <w:p w14:paraId="1FDA8D64">
            <w:pPr>
              <w:jc w:val="center"/>
              <w:rPr>
                <w:rFonts w:hint="default" w:ascii="黑体" w:hAnsi="黑体" w:eastAsia="黑体" w:cs="黑体"/>
                <w:sz w:val="24"/>
                <w:szCs w:val="32"/>
                <w:highlight w:val="none"/>
                <w:vertAlign w:val="baseline"/>
                <w:lang w:val="en-US" w:eastAsia="zh-CN"/>
              </w:rPr>
            </w:pPr>
            <w:r>
              <w:rPr>
                <w:rFonts w:hint="eastAsia" w:ascii="仿宋_GB2312" w:hAnsi="仿宋_GB2312" w:eastAsia="仿宋_GB2312" w:cs="仿宋_GB2312"/>
                <w:kern w:val="0"/>
                <w:sz w:val="24"/>
                <w:szCs w:val="24"/>
                <w:highlight w:val="none"/>
                <w:lang w:val="en-US" w:eastAsia="zh-CN"/>
              </w:rPr>
              <w:t>5</w:t>
            </w:r>
          </w:p>
        </w:tc>
        <w:tc>
          <w:tcPr>
            <w:tcW w:w="1716" w:type="dxa"/>
            <w:noWrap w:val="0"/>
            <w:vAlign w:val="center"/>
          </w:tcPr>
          <w:p w14:paraId="455A5EAD">
            <w:pPr>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检验检测机构资质认定</w:t>
            </w:r>
          </w:p>
        </w:tc>
        <w:tc>
          <w:tcPr>
            <w:tcW w:w="1368" w:type="dxa"/>
            <w:noWrap w:val="0"/>
            <w:vAlign w:val="center"/>
          </w:tcPr>
          <w:p w14:paraId="10B0CA59">
            <w:pPr>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行政许可</w:t>
            </w:r>
          </w:p>
        </w:tc>
        <w:tc>
          <w:tcPr>
            <w:tcW w:w="7980" w:type="dxa"/>
            <w:noWrap w:val="0"/>
            <w:vAlign w:val="center"/>
          </w:tcPr>
          <w:p w14:paraId="49779290">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计量法》第二十条：县级以上人民政府计量行政部门可以根据需要设置计量检定机构，或者授权其他单位的计量检定机构，执行强制检定和其他检定、测试任务。执行前款规定的检定、测试任务的人员，必须经考核合格。第二十二条：为社会提供公证数据的产品质量检验机构，必须经省级以上人民政府计量行政部门对其计量检定、测试的能力和可靠性考核合格。</w:t>
            </w:r>
          </w:p>
          <w:p w14:paraId="589353C8">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《中华人民共和国认证认可条例》第九条　取得认证机构资质，应当经国务院认证认可监督管理部门批准，并在批准范围内从事认证活动。</w:t>
            </w:r>
          </w:p>
          <w:p w14:paraId="22F00D0B">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《检验检测机构资质认定管理办法》第八条 国务院有关部门以及相关行业主管部门依法成立的检验检测机构，其资质认定由市场监管总局负责组织实施；其他检验检测机构的资质认定，由其所在行政区域的省级市场监督管理部门负责组织实施。</w:t>
            </w:r>
          </w:p>
          <w:p w14:paraId="19A78FE7">
            <w:pPr>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《陕西省人民政府关于委托一批行政许可事项的决定》（省政府令第 235 号）</w:t>
            </w:r>
          </w:p>
        </w:tc>
        <w:tc>
          <w:tcPr>
            <w:tcW w:w="1485" w:type="dxa"/>
            <w:noWrap w:val="0"/>
            <w:vAlign w:val="center"/>
          </w:tcPr>
          <w:p w14:paraId="3C029592">
            <w:pPr>
              <w:jc w:val="center"/>
              <w:rPr>
                <w:rFonts w:hint="eastAsia" w:ascii="仿宋" w:hAnsi="仿宋" w:eastAsia="仿宋" w:cs="仿宋"/>
                <w:sz w:val="24"/>
                <w:szCs w:val="32"/>
                <w:highlight w:val="none"/>
                <w:vertAlign w:val="baseline"/>
                <w:lang w:val="en-US" w:eastAsia="zh-CN"/>
              </w:rPr>
            </w:pPr>
            <w:r>
              <w:rPr>
                <w:rFonts w:hint="eastAsia" w:ascii="仿宋" w:hAnsi="仿宋" w:eastAsia="仿宋" w:cs="仿宋"/>
                <w:sz w:val="24"/>
                <w:szCs w:val="32"/>
                <w:highlight w:val="none"/>
                <w:vertAlign w:val="baseline"/>
                <w:lang w:val="en-US" w:eastAsia="zh-CN"/>
              </w:rPr>
              <w:t>行政审批</w:t>
            </w:r>
          </w:p>
          <w:p w14:paraId="0A92445C">
            <w:pPr>
              <w:jc w:val="center"/>
              <w:rPr>
                <w:rFonts w:hint="eastAsia" w:ascii="仿宋" w:hAnsi="仿宋" w:eastAsia="仿宋" w:cs="仿宋"/>
                <w:sz w:val="24"/>
                <w:szCs w:val="32"/>
                <w:highlight w:val="none"/>
                <w:vertAlign w:val="baseline"/>
                <w:lang w:val="en-US" w:eastAsia="zh-CN"/>
              </w:rPr>
            </w:pPr>
            <w:r>
              <w:rPr>
                <w:rFonts w:hint="eastAsia" w:ascii="仿宋" w:hAnsi="仿宋" w:eastAsia="仿宋" w:cs="仿宋"/>
                <w:sz w:val="24"/>
                <w:szCs w:val="32"/>
                <w:highlight w:val="none"/>
                <w:vertAlign w:val="baseline"/>
                <w:lang w:val="en-US" w:eastAsia="zh-CN"/>
              </w:rPr>
              <w:t>服务分局</w:t>
            </w:r>
          </w:p>
        </w:tc>
        <w:tc>
          <w:tcPr>
            <w:tcW w:w="1179" w:type="dxa"/>
            <w:noWrap w:val="0"/>
            <w:vAlign w:val="center"/>
          </w:tcPr>
          <w:p w14:paraId="4BD91B9C">
            <w:pPr>
              <w:jc w:val="center"/>
              <w:rPr>
                <w:rFonts w:hint="eastAsia" w:ascii="黑体" w:hAnsi="黑体" w:eastAsia="黑体" w:cs="黑体"/>
                <w:sz w:val="24"/>
                <w:szCs w:val="32"/>
                <w:highlight w:val="none"/>
                <w:vertAlign w:val="baseline"/>
                <w:lang w:val="en-US" w:eastAsia="zh-CN"/>
              </w:rPr>
            </w:pPr>
            <w:r>
              <w:rPr>
                <w:rFonts w:hint="eastAsia" w:ascii="仿宋_GB2312" w:hAnsi="仿宋_GB2312" w:eastAsia="仿宋_GB2312" w:cs="仿宋_GB2312"/>
                <w:kern w:val="0"/>
                <w:sz w:val="24"/>
                <w:szCs w:val="24"/>
                <w:highlight w:val="none"/>
                <w:lang w:val="en-US" w:eastAsia="zh-CN"/>
              </w:rPr>
              <w:t>无固定期限，以委托文件为准</w:t>
            </w:r>
          </w:p>
        </w:tc>
      </w:tr>
    </w:tbl>
    <w:p w14:paraId="783C4DA2"/>
    <w:sectPr>
      <w:footerReference r:id="rId3" w:type="default"/>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514A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70F75B">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70F75B">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F52FA9"/>
    <w:multiLevelType w:val="singleLevel"/>
    <w:tmpl w:val="81F52FA9"/>
    <w:lvl w:ilvl="0" w:tentative="0">
      <w:start w:val="1"/>
      <w:numFmt w:val="decimal"/>
      <w:lvlText w:val="%1."/>
      <w:lvlJc w:val="left"/>
      <w:pPr>
        <w:tabs>
          <w:tab w:val="left" w:pos="312"/>
        </w:tabs>
      </w:pPr>
    </w:lvl>
  </w:abstractNum>
  <w:abstractNum w:abstractNumId="1">
    <w:nsid w:val="CE63949D"/>
    <w:multiLevelType w:val="singleLevel"/>
    <w:tmpl w:val="CE63949D"/>
    <w:lvl w:ilvl="0" w:tentative="0">
      <w:start w:val="1"/>
      <w:numFmt w:val="decimal"/>
      <w:lvlText w:val="%1."/>
      <w:lvlJc w:val="left"/>
      <w:pPr>
        <w:tabs>
          <w:tab w:val="left" w:pos="312"/>
        </w:tabs>
      </w:pPr>
    </w:lvl>
  </w:abstractNum>
  <w:abstractNum w:abstractNumId="2">
    <w:nsid w:val="29BD1E62"/>
    <w:multiLevelType w:val="singleLevel"/>
    <w:tmpl w:val="29BD1E62"/>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EC07F5"/>
    <w:rsid w:val="00802E78"/>
    <w:rsid w:val="011A0778"/>
    <w:rsid w:val="02896FDF"/>
    <w:rsid w:val="0CEB1914"/>
    <w:rsid w:val="0D6169A4"/>
    <w:rsid w:val="0EB26959"/>
    <w:rsid w:val="13390EFF"/>
    <w:rsid w:val="15125B09"/>
    <w:rsid w:val="18137F71"/>
    <w:rsid w:val="20120B0E"/>
    <w:rsid w:val="214F2556"/>
    <w:rsid w:val="218C669E"/>
    <w:rsid w:val="250F56D4"/>
    <w:rsid w:val="25B33183"/>
    <w:rsid w:val="29EC07F5"/>
    <w:rsid w:val="31773DE5"/>
    <w:rsid w:val="39E6444E"/>
    <w:rsid w:val="3C9A66CB"/>
    <w:rsid w:val="42A72228"/>
    <w:rsid w:val="47743CD8"/>
    <w:rsid w:val="4ADB406F"/>
    <w:rsid w:val="4BCB03B2"/>
    <w:rsid w:val="4CA03D7F"/>
    <w:rsid w:val="4F0019DC"/>
    <w:rsid w:val="58C2659A"/>
    <w:rsid w:val="5A341302"/>
    <w:rsid w:val="5A7C3702"/>
    <w:rsid w:val="5F93468B"/>
    <w:rsid w:val="64446389"/>
    <w:rsid w:val="67FF1EAE"/>
    <w:rsid w:val="6DF32BBF"/>
    <w:rsid w:val="705169D2"/>
    <w:rsid w:val="70F3029D"/>
    <w:rsid w:val="710060EE"/>
    <w:rsid w:val="74695C63"/>
    <w:rsid w:val="75DF4BF8"/>
    <w:rsid w:val="765B1A3C"/>
    <w:rsid w:val="7DF033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ind w:left="109"/>
    </w:pPr>
    <w:rPr>
      <w:rFonts w:hint="eastAsia" w:ascii="仿宋_GB2312" w:eastAsia="仿宋_GB2312"/>
      <w:sz w:val="32"/>
    </w:rPr>
  </w:style>
  <w:style w:type="paragraph" w:customStyle="1" w:styleId="3">
    <w:name w:val="Body Text 21"/>
    <w:basedOn w:val="1"/>
    <w:qFormat/>
    <w:uiPriority w:val="0"/>
    <w:pPr>
      <w:spacing w:after="120" w:line="480" w:lineRule="auto"/>
    </w:pPr>
    <w:rPr>
      <w:rFonts w:eastAsia="仿宋_GB2312"/>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11"/>
    <w:basedOn w:val="9"/>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8241</Words>
  <Characters>8289</Characters>
  <Lines>0</Lines>
  <Paragraphs>0</Paragraphs>
  <TotalTime>3</TotalTime>
  <ScaleCrop>false</ScaleCrop>
  <LinksUpToDate>false</LinksUpToDate>
  <CharactersWithSpaces>8472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2025-05-28T01:33:00Z</dcterms:created>
  <dc:creator>ｄａｎ＇ｄａｎ</dc:creator>
  <cp:lastModifiedBy>郭倩</cp:lastModifiedBy>
  <dcterms:modified xsi:type="dcterms:W3CDTF">2025-08-07T03:01:50Z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EB6CAED72F3541B6ACF4015F4446EDCC_11</vt:lpwstr>
  </property>
  <property fmtid="{D5CDD505-2E9C-101B-9397-08002B2CF9AE}" pid="4" name="KSOTemplateDocerSaveRecord">
    <vt:lpwstr>eyJoZGlkIjoiYTNiNjhlYzNmODM5OWFjZDZlNGI0NjIzZDUzYjU3MTgiLCJ1c2VySWQiOiIzNTM2Mjk4NzQifQ==</vt:lpwstr>
  </property>
</Properties>
</file>